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hint="eastAsia" w:ascii="宋体" w:hAnsi="宋体" w:eastAsia="宋体" w:cs="宋体"/>
          <w:b/>
          <w:color w:val="000000"/>
          <w:spacing w:val="76"/>
          <w:sz w:val="156"/>
          <w:highlight w:val="none"/>
          <w:lang w:eastAsia="zh-CN"/>
        </w:rPr>
      </w:pPr>
      <w:r>
        <w:rPr>
          <w:rFonts w:hint="eastAsia" w:ascii="宋体" w:hAnsi="宋体" w:eastAsia="宋体" w:cs="宋体"/>
          <w:b/>
          <w:color w:val="000000"/>
          <w:spacing w:val="76"/>
          <w:sz w:val="156"/>
          <w:highlight w:val="none"/>
          <w:lang w:eastAsia="zh-CN"/>
        </w:rPr>
      </w:r>
      <w:r/>
    </w:p>
    <w:p>
      <w:pPr>
        <w:jc w:val="center"/>
        <w:spacing w:after="0" w:line="360" w:lineRule="auto"/>
        <w:rPr>
          <w:rFonts w:ascii="宋体" w:hAnsi="宋体" w:eastAsia="宋体" w:cs="宋体"/>
          <w:b/>
          <w:color w:val="000000"/>
          <w:spacing w:val="76"/>
          <w:sz w:val="156"/>
          <w:highlight w:val="none"/>
          <w:lang w:eastAsia="zh-CN"/>
        </w:rPr>
      </w:pPr>
      <w:r>
        <w:rPr>
          <w:rFonts w:hint="eastAsia" w:ascii="宋体" w:hAnsi="宋体" w:eastAsia="宋体" w:cs="宋体"/>
          <w:b/>
          <w:color w:val="000000"/>
          <w:spacing w:val="76"/>
          <w:sz w:val="156"/>
          <w:highlight w:val="none"/>
          <w:lang w:eastAsia="zh-CN"/>
        </w:rPr>
        <w:t xml:space="preserve">招标文件</w:t>
      </w:r>
      <w:r/>
    </w:p>
    <w:p>
      <w:pPr>
        <w:spacing w:after="0" w:line="360" w:lineRule="auto"/>
        <w:rPr>
          <w:rFonts w:ascii="宋体" w:hAnsi="宋体" w:eastAsia="宋体" w:cs="宋体"/>
          <w:color w:val="000000"/>
          <w:sz w:val="32"/>
          <w:highlight w:val="none"/>
          <w:lang w:eastAsia="zh-CN"/>
        </w:rPr>
      </w:pPr>
      <w:r>
        <w:rPr>
          <w:rFonts w:ascii="宋体" w:hAnsi="宋体" w:eastAsia="宋体" w:cs="宋体"/>
          <w:color w:val="000000"/>
          <w:sz w:val="32"/>
          <w:highlight w:val="none"/>
          <w:lang w:eastAsia="zh-CN"/>
        </w:rPr>
      </w:r>
      <w:r/>
    </w:p>
    <w:p>
      <w:pPr>
        <w:spacing w:after="0" w:line="360" w:lineRule="auto"/>
        <w:rPr>
          <w:rFonts w:ascii="宋体" w:hAnsi="宋体" w:eastAsia="宋体" w:cs="宋体"/>
          <w:color w:val="000000"/>
          <w:sz w:val="32"/>
          <w:highlight w:val="none"/>
          <w:lang w:eastAsia="zh-CN"/>
        </w:rPr>
      </w:pPr>
      <w:r>
        <w:rPr>
          <w:rFonts w:ascii="宋体" w:hAnsi="宋体" w:eastAsia="宋体" w:cs="宋体"/>
          <w:color w:val="000000"/>
          <w:sz w:val="32"/>
          <w:highlight w:val="none"/>
          <w:lang w:eastAsia="zh-CN"/>
        </w:rPr>
      </w:r>
      <w:r/>
    </w:p>
    <w:p>
      <w:pPr>
        <w:ind w:firstLine="900"/>
        <w:jc w:val="both"/>
        <w:spacing w:after="0" w:line="360" w:lineRule="auto"/>
        <w:rPr>
          <w:rFonts w:hint="eastAsia" w:ascii="宋体" w:hAnsi="宋体" w:eastAsia="宋体" w:cs="宋体"/>
          <w:color w:val="000000"/>
          <w:sz w:val="30"/>
          <w:szCs w:val="30"/>
          <w:highlight w:val="none"/>
          <w:lang w:val="en-US" w:eastAsia="zh-CN"/>
        </w:rPr>
      </w:pPr>
      <w:r/>
      <w:bookmarkStart w:id="0" w:name="_Toc28594"/>
      <w:r>
        <w:rPr>
          <w:rFonts w:hint="eastAsia" w:ascii="宋体" w:hAnsi="宋体" w:eastAsia="宋体" w:cs="宋体"/>
          <w:color w:val="000000"/>
          <w:sz w:val="30"/>
          <w:szCs w:val="30"/>
          <w:highlight w:val="none"/>
          <w:lang w:eastAsia="zh-CN"/>
        </w:rPr>
        <w:t xml:space="preserve">项目名称：</w:t>
      </w:r>
      <w:bookmarkEnd w:id="0"/>
      <w:r>
        <w:rPr>
          <w:rFonts w:hint="eastAsia" w:ascii="宋体" w:hAnsi="宋体" w:eastAsia="宋体" w:cs="宋体"/>
          <w:color w:val="000000"/>
          <w:sz w:val="30"/>
          <w:szCs w:val="30"/>
          <w:highlight w:val="none"/>
          <w:lang w:eastAsia="zh-CN"/>
        </w:rPr>
        <w:t xml:space="preserve">市救灾物资储备库配套设施（市物资储备专项资金）</w:t>
      </w:r>
      <w:r/>
    </w:p>
    <w:p>
      <w:pPr>
        <w:ind w:firstLine="900"/>
        <w:spacing w:after="0" w:line="360" w:lineRule="auto"/>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lang w:eastAsia="zh-CN"/>
        </w:rPr>
        <w:t xml:space="preserve">项目编号：JSZC-320300-YMXM-G2026-0001</w:t>
      </w:r>
      <w:r/>
    </w:p>
    <w:p>
      <w:pPr>
        <w:ind w:firstLine="900"/>
        <w:spacing w:after="0" w:line="360" w:lineRule="auto"/>
        <w:rPr>
          <w:rFonts w:ascii="宋体" w:hAnsi="宋体" w:eastAsia="宋体" w:cs="宋体"/>
          <w:color w:val="000000"/>
          <w:sz w:val="32"/>
          <w:highlight w:val="none"/>
          <w:lang w:eastAsia="zh-CN"/>
        </w:rPr>
      </w:pPr>
      <w:r>
        <w:rPr>
          <w:rFonts w:hint="eastAsia" w:ascii="宋体" w:hAnsi="宋体" w:eastAsia="宋体" w:cs="宋体"/>
          <w:color w:val="000000"/>
          <w:sz w:val="30"/>
          <w:szCs w:val="30"/>
          <w:highlight w:val="none"/>
          <w:lang w:eastAsia="zh-CN"/>
        </w:rPr>
        <w:t xml:space="preserve">采 购 人：徐州市发展和改革委员会</w:t>
      </w:r>
      <w:r/>
    </w:p>
    <w:p>
      <w:pPr>
        <w:ind w:left="3238" w:hanging="2281"/>
        <w:spacing w:after="0" w:line="360" w:lineRule="auto"/>
        <w:rPr>
          <w:rFonts w:ascii="宋体" w:hAnsi="宋体" w:eastAsia="宋体" w:cs="宋体"/>
          <w:color w:val="000000"/>
          <w:sz w:val="32"/>
          <w:highlight w:val="none"/>
          <w:lang w:eastAsia="zh-CN"/>
        </w:rPr>
      </w:pPr>
      <w:r>
        <w:rPr>
          <w:rFonts w:hint="eastAsia" w:ascii="宋体" w:hAnsi="宋体" w:eastAsia="宋体" w:cs="宋体"/>
          <w:color w:val="000000"/>
          <w:sz w:val="32"/>
          <w:highlight w:val="none"/>
          <w:lang w:eastAsia="zh-CN"/>
        </w:rPr>
        <w:t xml:space="preserve"> </w:t>
      </w:r>
      <w:r/>
    </w:p>
    <w:p>
      <w:pPr>
        <w:ind w:firstLine="630"/>
        <w:spacing w:after="0" w:line="360" w:lineRule="auto"/>
        <w:rPr>
          <w:rFonts w:ascii="宋体" w:hAnsi="宋体" w:eastAsia="宋体" w:cs="宋体"/>
          <w:color w:val="000000"/>
          <w:sz w:val="32"/>
          <w:highlight w:val="none"/>
          <w:lang w:eastAsia="zh-CN"/>
        </w:rPr>
      </w:pPr>
      <w:r>
        <w:rPr>
          <w:rFonts w:ascii="宋体" w:hAnsi="宋体" w:eastAsia="宋体" w:cs="宋体"/>
          <w:color w:val="000000"/>
          <w:sz w:val="32"/>
          <w:highlight w:val="none"/>
          <w:lang w:eastAsia="zh-CN"/>
        </w:rPr>
      </w:r>
      <w:r/>
    </w:p>
    <w:p>
      <w:pPr>
        <w:ind w:firstLine="630"/>
        <w:jc w:val="center"/>
        <w:spacing w:after="0"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803"/>
        <w:ind w:left="0" w:firstLine="0"/>
        <w:spacing w:after="0"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spacing w:after="0" w:line="360" w:lineRule="auto"/>
        <w:rPr>
          <w:rFonts w:ascii="宋体" w:hAnsi="宋体" w:eastAsia="宋体" w:cs="宋体"/>
          <w:color w:val="000000"/>
          <w:sz w:val="32"/>
          <w:szCs w:val="32"/>
          <w:highlight w:val="none"/>
          <w:lang w:eastAsia="zh-CN"/>
        </w:rPr>
      </w:pPr>
      <w:r>
        <w:rPr>
          <w:rFonts w:ascii="宋体" w:hAnsi="宋体" w:eastAsia="宋体" w:cs="宋体"/>
          <w:color w:val="000000"/>
          <w:sz w:val="32"/>
          <w:szCs w:val="32"/>
          <w:highlight w:val="none"/>
          <w:lang w:eastAsia="zh-CN"/>
        </w:rPr>
      </w:r>
      <w:r/>
    </w:p>
    <w:p>
      <w:pPr>
        <w:jc w:val="center"/>
        <w:spacing w:after="0" w:line="360" w:lineRule="auto"/>
        <w:rPr>
          <w:rFonts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招标代理单位：永明项目管理有限公司</w:t>
      </w:r>
      <w:r/>
    </w:p>
    <w:p>
      <w:pPr>
        <w:jc w:val="center"/>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二〇二</w:t>
      </w:r>
      <w:r>
        <w:rPr>
          <w:rFonts w:hint="eastAsia" w:ascii="宋体" w:hAnsi="宋体" w:eastAsia="宋体" w:cs="宋体"/>
          <w:color w:val="000000"/>
          <w:sz w:val="32"/>
          <w:szCs w:val="32"/>
          <w:highlight w:val="none"/>
          <w:lang w:val="en-US" w:eastAsia="zh-CN"/>
        </w:rPr>
        <w:t xml:space="preserve">六</w:t>
      </w:r>
      <w:r>
        <w:rPr>
          <w:rFonts w:hint="eastAsia" w:ascii="宋体" w:hAnsi="宋体" w:eastAsia="宋体" w:cs="宋体"/>
          <w:color w:val="000000"/>
          <w:sz w:val="32"/>
          <w:szCs w:val="32"/>
          <w:highlight w:val="none"/>
          <w:lang w:eastAsia="zh-CN"/>
        </w:rPr>
        <w:t xml:space="preserve">年</w:t>
      </w:r>
      <w:r>
        <w:rPr>
          <w:rFonts w:hint="eastAsia" w:ascii="宋体" w:hAnsi="宋体" w:eastAsia="宋体" w:cs="宋体"/>
          <w:color w:val="000000"/>
          <w:sz w:val="32"/>
          <w:szCs w:val="32"/>
          <w:highlight w:val="none"/>
          <w:lang w:val="en-US" w:eastAsia="zh-CN"/>
        </w:rPr>
        <w:t xml:space="preserve">一</w:t>
      </w:r>
      <w:r>
        <w:rPr>
          <w:rFonts w:hint="eastAsia" w:ascii="宋体" w:hAnsi="宋体" w:eastAsia="宋体" w:cs="宋体"/>
          <w:color w:val="000000"/>
          <w:sz w:val="32"/>
          <w:szCs w:val="32"/>
          <w:highlight w:val="none"/>
          <w:lang w:eastAsia="zh-CN"/>
        </w:rPr>
        <w:t xml:space="preserve">月</w:t>
      </w:r>
      <w:r/>
    </w:p>
    <w:p>
      <w:pPr>
        <w:jc w:val="center"/>
        <w:spacing w:line="360" w:lineRule="auto"/>
        <w:rPr>
          <w:rFonts w:hint="eastAsia" w:ascii="宋体" w:hAnsi="宋体" w:eastAsia="宋体" w:cs="宋体"/>
          <w:b/>
          <w:color w:val="000000"/>
          <w:sz w:val="36"/>
          <w:szCs w:val="36"/>
          <w:highlight w:val="none"/>
          <w:u w:val="none"/>
        </w:rPr>
      </w:pPr>
      <w:r>
        <w:rPr>
          <w:rFonts w:hint="eastAsia" w:ascii="宋体" w:hAnsi="宋体" w:eastAsia="宋体" w:cs="宋体"/>
          <w:color w:val="000000"/>
          <w:sz w:val="32"/>
          <w:szCs w:val="32"/>
          <w:highlight w:val="none"/>
          <w:lang w:eastAsia="zh-CN"/>
        </w:rPr>
        <w:br w:type="page" w:clear="all"/>
      </w:r>
      <w:r>
        <w:rPr>
          <w:rFonts w:hint="eastAsia" w:ascii="宋体" w:hAnsi="宋体" w:eastAsia="宋体" w:cs="宋体"/>
          <w:b/>
          <w:color w:val="000000"/>
          <w:sz w:val="36"/>
          <w:szCs w:val="36"/>
          <w:highlight w:val="none"/>
          <w:u w:val="none"/>
        </w:rPr>
        <w:t xml:space="preserve">目</w:t>
      </w:r>
      <w:r>
        <w:rPr>
          <w:rFonts w:hint="eastAsia" w:ascii="宋体" w:hAnsi="宋体" w:eastAsia="宋体" w:cs="宋体"/>
          <w:b/>
          <w:color w:val="000000"/>
          <w:sz w:val="36"/>
          <w:szCs w:val="36"/>
          <w:highlight w:val="none"/>
          <w:u w:val="none"/>
          <w:lang w:val="en-US" w:eastAsia="zh-CN"/>
        </w:rPr>
        <w:t xml:space="preserve">  </w:t>
      </w:r>
      <w:r>
        <w:rPr>
          <w:rFonts w:hint="eastAsia" w:ascii="宋体" w:hAnsi="宋体" w:eastAsia="宋体" w:cs="宋体"/>
          <w:b/>
          <w:color w:val="000000"/>
          <w:sz w:val="36"/>
          <w:szCs w:val="36"/>
          <w:highlight w:val="none"/>
          <w:u w:val="none"/>
        </w:rPr>
        <w:t xml:space="preserve">录</w:t>
      </w:r>
      <w:r/>
    </w:p>
    <w:p>
      <w:pPr>
        <w:ind w:left="0" w:right="0" w:firstLine="900"/>
        <w:jc w:val="both"/>
        <w:keepLines w:val="0"/>
        <w:keepNext w:val="0"/>
        <w:pageBreakBefore w:val="0"/>
        <w:spacing w:before="0" w:beforeAutospacing="0" w:after="0" w:afterAutospacing="0" w:line="360" w:lineRule="auto"/>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r>
      <w:r/>
    </w:p>
    <w:p>
      <w:pPr>
        <w:ind w:left="0" w:right="0" w:firstLine="900"/>
        <w:jc w:val="both"/>
        <w:keepLines w:val="0"/>
        <w:keepNext w:val="0"/>
        <w:pageBreakBefore w:val="0"/>
        <w:spacing w:before="0" w:beforeAutospacing="0" w:after="0" w:afterAutospacing="0" w:line="360" w:lineRule="auto"/>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第一章</w:t>
      </w:r>
      <w:r>
        <w:rPr>
          <w:rFonts w:hint="eastAsia" w:ascii="宋体" w:hAnsi="宋体" w:eastAsia="宋体" w:cs="宋体"/>
          <w:color w:val="000000"/>
          <w:sz w:val="30"/>
          <w:highlight w:val="none"/>
          <w:lang w:val="en-US" w:eastAsia="zh-CN"/>
        </w:rPr>
        <w:t xml:space="preserve">  </w:t>
      </w:r>
      <w:r>
        <w:rPr>
          <w:rFonts w:hint="eastAsia" w:ascii="宋体" w:hAnsi="宋体" w:eastAsia="宋体" w:cs="宋体"/>
          <w:color w:val="000000"/>
          <w:sz w:val="30"/>
          <w:highlight w:val="none"/>
        </w:rPr>
        <w:t xml:space="preserve">投标邀请</w:t>
      </w:r>
      <w:r/>
    </w:p>
    <w:p>
      <w:pPr>
        <w:ind w:left="0" w:right="0" w:firstLine="900"/>
        <w:jc w:val="both"/>
        <w:keepLines w:val="0"/>
        <w:keepNext w:val="0"/>
        <w:pageBreakBefore w:val="0"/>
        <w:spacing w:before="0" w:beforeAutospacing="0" w:after="0" w:afterAutospacing="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第二章 </w:t>
      </w:r>
      <w:r>
        <w:rPr>
          <w:rFonts w:hint="eastAsia" w:ascii="宋体" w:hAnsi="宋体" w:eastAsia="宋体" w:cs="宋体"/>
          <w:color w:val="000000"/>
          <w:sz w:val="30"/>
          <w:highlight w:val="none"/>
          <w:lang w:val="en-US" w:eastAsia="zh-CN"/>
        </w:rPr>
        <w:t xml:space="preserve"> </w:t>
      </w:r>
      <w:r>
        <w:rPr>
          <w:rFonts w:hint="eastAsia" w:ascii="宋体" w:hAnsi="宋体" w:eastAsia="宋体" w:cs="宋体"/>
          <w:color w:val="000000"/>
          <w:sz w:val="30"/>
          <w:highlight w:val="none"/>
        </w:rPr>
        <w:t xml:space="preserve">投标人须知</w:t>
      </w:r>
      <w:r/>
    </w:p>
    <w:p>
      <w:pPr>
        <w:ind w:left="0" w:right="0" w:firstLine="900"/>
        <w:jc w:val="both"/>
        <w:keepLines w:val="0"/>
        <w:keepNext w:val="0"/>
        <w:pageBreakBefore w:val="0"/>
        <w:spacing w:before="0" w:beforeAutospacing="0" w:after="0" w:afterAutospacing="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第三章 </w:t>
      </w:r>
      <w:r>
        <w:rPr>
          <w:rFonts w:hint="eastAsia" w:ascii="宋体" w:hAnsi="宋体" w:eastAsia="宋体" w:cs="宋体"/>
          <w:color w:val="000000"/>
          <w:sz w:val="30"/>
          <w:highlight w:val="none"/>
          <w:lang w:val="en-US" w:eastAsia="zh-CN"/>
        </w:rPr>
        <w:t xml:space="preserve"> </w:t>
      </w:r>
      <w:r>
        <w:rPr>
          <w:rFonts w:hint="eastAsia" w:ascii="宋体" w:hAnsi="宋体" w:eastAsia="宋体" w:cs="宋体"/>
          <w:color w:val="000000"/>
          <w:sz w:val="30"/>
          <w:highlight w:val="none"/>
        </w:rPr>
        <w:t xml:space="preserve">投标资料表</w:t>
      </w:r>
      <w:r/>
    </w:p>
    <w:p>
      <w:pPr>
        <w:ind w:left="0" w:right="0" w:firstLine="900"/>
        <w:jc w:val="both"/>
        <w:keepLines w:val="0"/>
        <w:keepNext w:val="0"/>
        <w:pageBreakBefore w:val="0"/>
        <w:spacing w:before="0" w:beforeAutospacing="0" w:after="0" w:afterAutospacing="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第四章 </w:t>
      </w:r>
      <w:r>
        <w:rPr>
          <w:rFonts w:hint="eastAsia" w:ascii="宋体" w:hAnsi="宋体" w:eastAsia="宋体" w:cs="宋体"/>
          <w:color w:val="000000"/>
          <w:sz w:val="30"/>
          <w:highlight w:val="none"/>
          <w:lang w:val="en-US" w:eastAsia="zh-CN"/>
        </w:rPr>
        <w:t xml:space="preserve"> </w:t>
      </w:r>
      <w:r>
        <w:rPr>
          <w:rFonts w:hint="eastAsia" w:ascii="宋体" w:hAnsi="宋体" w:eastAsia="宋体" w:cs="宋体"/>
          <w:color w:val="000000"/>
          <w:sz w:val="30"/>
          <w:highlight w:val="none"/>
        </w:rPr>
        <w:t xml:space="preserve">评标标准</w:t>
      </w:r>
      <w:r/>
    </w:p>
    <w:p>
      <w:pPr>
        <w:ind w:left="0" w:right="0" w:firstLine="900"/>
        <w:jc w:val="both"/>
        <w:keepLines w:val="0"/>
        <w:keepNext w:val="0"/>
        <w:pageBreakBefore w:val="0"/>
        <w:spacing w:before="0" w:beforeAutospacing="0" w:after="0" w:afterAutospacing="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第五章 </w:t>
      </w:r>
      <w:r>
        <w:rPr>
          <w:rFonts w:hint="eastAsia" w:ascii="宋体" w:hAnsi="宋体" w:eastAsia="宋体" w:cs="宋体"/>
          <w:color w:val="000000"/>
          <w:sz w:val="30"/>
          <w:highlight w:val="none"/>
          <w:lang w:val="en-US" w:eastAsia="zh-CN"/>
        </w:rPr>
        <w:t xml:space="preserve"> </w:t>
      </w:r>
      <w:r>
        <w:rPr>
          <w:rFonts w:hint="eastAsia" w:ascii="宋体" w:hAnsi="宋体" w:eastAsia="宋体" w:cs="宋体"/>
          <w:color w:val="000000"/>
          <w:sz w:val="30"/>
          <w:highlight w:val="none"/>
        </w:rPr>
        <w:t xml:space="preserve">拟签订的合同文本</w:t>
      </w:r>
      <w:r/>
    </w:p>
    <w:p>
      <w:pPr>
        <w:ind w:left="0" w:right="0" w:firstLine="900"/>
        <w:jc w:val="both"/>
        <w:keepLines w:val="0"/>
        <w:keepNext w:val="0"/>
        <w:pageBreakBefore w:val="0"/>
        <w:spacing w:before="0" w:beforeAutospacing="0" w:after="0" w:afterAutospacing="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第六章 </w:t>
      </w:r>
      <w:r>
        <w:rPr>
          <w:rFonts w:hint="eastAsia" w:ascii="宋体" w:hAnsi="宋体" w:eastAsia="宋体" w:cs="宋体"/>
          <w:color w:val="000000"/>
          <w:sz w:val="30"/>
          <w:highlight w:val="none"/>
          <w:lang w:val="en-US" w:eastAsia="zh-CN"/>
        </w:rPr>
        <w:t xml:space="preserve"> </w:t>
      </w:r>
      <w:r>
        <w:rPr>
          <w:rFonts w:hint="eastAsia" w:ascii="宋体" w:hAnsi="宋体" w:eastAsia="宋体" w:cs="宋体"/>
          <w:color w:val="000000"/>
          <w:sz w:val="30"/>
          <w:highlight w:val="none"/>
        </w:rPr>
        <w:t xml:space="preserve">采购需求</w:t>
      </w:r>
      <w:r/>
    </w:p>
    <w:p>
      <w:pPr>
        <w:ind w:left="0" w:right="0" w:firstLine="900"/>
        <w:jc w:val="both"/>
        <w:keepLines w:val="0"/>
        <w:keepNext w:val="0"/>
        <w:pageBreakBefore w:val="0"/>
        <w:spacing w:before="0" w:beforeAutospacing="0" w:after="0" w:afterAutospacing="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第七章 </w:t>
      </w:r>
      <w:r>
        <w:rPr>
          <w:rFonts w:hint="eastAsia" w:ascii="宋体" w:hAnsi="宋体" w:eastAsia="宋体" w:cs="宋体"/>
          <w:color w:val="000000"/>
          <w:sz w:val="30"/>
          <w:highlight w:val="none"/>
          <w:lang w:val="en-US" w:eastAsia="zh-CN"/>
        </w:rPr>
        <w:t xml:space="preserve"> </w:t>
      </w:r>
      <w:r>
        <w:rPr>
          <w:rFonts w:hint="eastAsia" w:ascii="宋体" w:hAnsi="宋体" w:eastAsia="宋体" w:cs="宋体"/>
          <w:color w:val="000000"/>
          <w:sz w:val="30"/>
          <w:highlight w:val="none"/>
        </w:rPr>
        <w:t xml:space="preserve">投标文件相关格式</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080" w:bottom="1383" w:left="1080" w:header="851" w:footer="992" w:gutter="0"/>
          <w:cols w:num="1" w:sep="0" w:space="1701" w:equalWidth="1"/>
          <w:docGrid w:linePitch="360"/>
        </w:sectP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eastAsia="zh-CN"/>
        </w:rPr>
        <w:t xml:space="preserve">徐州市发展和改革委员会</w:t>
      </w:r>
      <w:r/>
    </w:p>
    <w:p>
      <w:pPr>
        <w:jc w:val="center"/>
        <w:spacing w:line="51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w:t>
      </w:r>
      <w:r>
        <w:rPr>
          <w:rFonts w:hint="eastAsia" w:ascii="宋体" w:hAnsi="宋体" w:eastAsia="宋体" w:cs="宋体"/>
          <w:b/>
          <w:color w:val="000000"/>
          <w:sz w:val="28"/>
          <w:szCs w:val="28"/>
          <w:highlight w:val="none"/>
          <w:lang w:eastAsia="zh-CN"/>
        </w:rPr>
        <w:t xml:space="preserve">市救灾物资储备库配套设施（市物资储备专项资金）</w:t>
      </w:r>
      <w:r>
        <w:rPr>
          <w:rFonts w:hint="eastAsia" w:ascii="宋体" w:hAnsi="宋体" w:cs="宋体"/>
          <w:b/>
          <w:color w:val="000000"/>
          <w:sz w:val="28"/>
          <w:szCs w:val="28"/>
          <w:highlight w:val="none"/>
        </w:rPr>
        <w:t xml:space="preserve">项目》</w:t>
      </w:r>
      <w:r/>
    </w:p>
    <w:p>
      <w:pPr>
        <w:jc w:val="center"/>
        <w:spacing w:line="51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rPr>
        <w:t xml:space="preserve">招标文件</w:t>
      </w:r>
      <w:r/>
    </w:p>
    <w:p>
      <w:pPr>
        <w:ind w:left="0" w:right="0" w:firstLine="480"/>
        <w:jc w:val="left"/>
        <w:keepLines w:val="0"/>
        <w:keepNext w:val="0"/>
        <w:pageBreakBefore w:val="0"/>
        <w:spacing w:before="0" w:beforeAutospacing="0" w:after="0" w:afterAutospacing="0" w:line="360" w:lineRule="auto"/>
        <w:rPr>
          <w:rFonts w:hint="eastAsia" w:ascii="宋体" w:hAnsi="宋体" w:eastAsia="宋体" w:cs="宋体"/>
          <w:b/>
          <w:color w:val="000000"/>
          <w:sz w:val="24"/>
          <w:szCs w:val="24"/>
          <w:highlight w:val="none"/>
          <w:u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第二章，投标人须知</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第三章，投标资料表</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第四章，评标标准</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第五章，拟签订的合同文本</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第六章，采购需求</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第七章，投标文件相关格式。</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color w:val="000000"/>
          <w:sz w:val="28"/>
          <w:szCs w:val="28"/>
          <w:highlight w:val="none"/>
          <w:u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u w:val="none"/>
        </w:rPr>
        <w:t xml:space="preserve">第一章 </w:t>
      </w:r>
      <w:r>
        <w:rPr>
          <w:rFonts w:hint="eastAsia" w:ascii="宋体" w:hAnsi="宋体" w:eastAsia="宋体" w:cs="宋体"/>
          <w:b/>
          <w:color w:val="000000"/>
          <w:sz w:val="28"/>
          <w:szCs w:val="28"/>
          <w:highlight w:val="none"/>
          <w:u w:val="none"/>
          <w:lang w:val="en-US" w:eastAsia="zh-CN"/>
        </w:rPr>
        <w:t xml:space="preserve"> </w:t>
      </w:r>
      <w:r>
        <w:rPr>
          <w:rFonts w:hint="eastAsia" w:ascii="宋体" w:hAnsi="宋体" w:eastAsia="宋体" w:cs="宋体"/>
          <w:b/>
          <w:color w:val="000000"/>
          <w:sz w:val="28"/>
          <w:szCs w:val="28"/>
          <w:highlight w:val="none"/>
          <w:u w:val="none"/>
        </w:rPr>
        <w:t xml:space="preserve">投标邀请</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永明项目管理有限公司</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徐州市发展和改革委员会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市救灾物资储备库配套设施（市物资储备专项资金）</w:t>
      </w:r>
      <w:r>
        <w:rPr>
          <w:rFonts w:hint="eastAsia" w:ascii="宋体" w:hAnsi="宋体" w:eastAsia="宋体" w:cs="宋体"/>
          <w:color w:val="000000"/>
          <w:sz w:val="24"/>
          <w:szCs w:val="24"/>
          <w:highlight w:val="none"/>
        </w:rPr>
        <w:t xml:space="preserve">”进行公开招标采购，现邀请符合相关条件的供应商投标。</w:t>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4"/>
          <w:szCs w:val="24"/>
          <w:highlight w:val="none"/>
        </w:rPr>
        <w:t xml:space="preserve">一、项目名称和项目编号</w:t>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（一）项目名称：市救灾物资储备库配套设施（市物资储备专项资金）</w:t>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w:t>
      </w:r>
      <w:r>
        <w:rPr>
          <w:rFonts w:hint="eastAsia" w:ascii="宋体" w:hAnsi="宋体" w:eastAsia="宋体" w:cs="宋体"/>
          <w:color w:val="000000"/>
          <w:sz w:val="24"/>
          <w:szCs w:val="24"/>
          <w:highlight w:val="none"/>
          <w:lang w:eastAsia="zh-CN"/>
        </w:rPr>
        <w:t xml:space="preserve">号：JSZC-320300-YMXM-G2026-0001</w:t>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4"/>
          <w:szCs w:val="24"/>
          <w:highlight w:val="none"/>
        </w:rPr>
        <w:t xml:space="preserve">二、对投标人的资格要求</w:t>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三、获取招标文件</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（一）潜在投标人访问电子招标投标交易平台的网络地址和方法：</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潜在供应商访问“苏采云”系统的网络地址和方法：“苏采云”系统的网址：http://jszfcg.jsczt.cn/；或进入徐州政府采购网（网址：http://czj.xz.gov.cn/Home/HomeIndex）--业务工作--用户登录，点击“苏采云”进入系统。</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（3）“CA数字证书”的获取：</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（二）采购代理机构将数据电文形式的招标文件加载至电子招标投标交易平台，供潜在投标人下载或者查阅。</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（三）售价：免费。</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四、投标有关信息</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（一）投标截止时间：</w:t>
      </w:r>
      <w:r>
        <w:rPr>
          <w:rFonts w:hint="eastAsia" w:ascii="宋体" w:hAnsi="宋体" w:eastAsia="宋体" w:cs="宋体"/>
          <w:b/>
          <w:bCs/>
          <w:color w:val="000000"/>
          <w:sz w:val="24"/>
          <w:szCs w:val="24"/>
          <w:highlight w:val="none"/>
          <w:u w:val="single"/>
          <w:lang w:val="en-US" w:eastAsia="zh-CN"/>
        </w:rPr>
        <w:t xml:space="preserve">2026</w:t>
      </w:r>
      <w:r>
        <w:rPr>
          <w:rFonts w:hint="eastAsia" w:ascii="宋体" w:hAnsi="宋体" w:eastAsia="宋体" w:cs="宋体"/>
          <w:b/>
          <w:bCs/>
          <w:color w:val="000000"/>
          <w:sz w:val="24"/>
          <w:szCs w:val="24"/>
          <w:highlight w:val="none"/>
          <w:lang w:eastAsia="zh-CN"/>
        </w:rPr>
        <w:t xml:space="preserve">年</w:t>
      </w:r>
      <w:r>
        <w:rPr>
          <w:rFonts w:hint="eastAsia" w:ascii="宋体" w:hAnsi="宋体" w:eastAsia="宋体" w:cs="宋体"/>
          <w:b/>
          <w:bCs/>
          <w:color w:val="000000"/>
          <w:sz w:val="24"/>
          <w:szCs w:val="24"/>
          <w:highlight w:val="none"/>
          <w:u w:val="single"/>
          <w:lang w:val="en-US" w:eastAsia="zh-CN"/>
        </w:rPr>
        <w:t xml:space="preserve"> 2 月 26 日</w:t>
      </w:r>
      <w:r>
        <w:rPr>
          <w:rFonts w:hint="eastAsia" w:ascii="宋体" w:hAnsi="宋体" w:eastAsia="宋体" w:cs="宋体"/>
          <w:b/>
          <w:bCs/>
          <w:color w:val="000000"/>
          <w:sz w:val="24"/>
          <w:szCs w:val="24"/>
          <w:highlight w:val="none"/>
          <w:lang w:eastAsia="zh-CN"/>
        </w:rPr>
        <w:t xml:space="preserve">北京时间09：30。</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（二）开标时间：</w:t>
      </w:r>
      <w:r>
        <w:rPr>
          <w:rFonts w:hint="eastAsia" w:ascii="宋体" w:hAnsi="宋体" w:eastAsia="宋体" w:cs="宋体"/>
          <w:b/>
          <w:bCs/>
          <w:color w:val="000000"/>
          <w:sz w:val="24"/>
          <w:szCs w:val="24"/>
          <w:highlight w:val="none"/>
          <w:u w:val="single"/>
          <w:lang w:val="en-US" w:eastAsia="zh-CN"/>
        </w:rPr>
        <w:t xml:space="preserve">2026</w:t>
      </w:r>
      <w:r>
        <w:rPr>
          <w:rFonts w:hint="eastAsia" w:ascii="宋体" w:hAnsi="宋体" w:eastAsia="宋体" w:cs="宋体"/>
          <w:b/>
          <w:bCs/>
          <w:color w:val="000000"/>
          <w:sz w:val="24"/>
          <w:szCs w:val="24"/>
          <w:highlight w:val="none"/>
          <w:lang w:eastAsia="zh-CN"/>
        </w:rPr>
        <w:t xml:space="preserve">年</w:t>
      </w:r>
      <w:r>
        <w:rPr>
          <w:rFonts w:hint="eastAsia" w:ascii="宋体" w:hAnsi="宋体" w:eastAsia="宋体" w:cs="宋体"/>
          <w:b/>
          <w:bCs/>
          <w:color w:val="000000"/>
          <w:sz w:val="24"/>
          <w:szCs w:val="24"/>
          <w:highlight w:val="none"/>
          <w:u w:val="single"/>
          <w:lang w:val="en-US" w:eastAsia="zh-CN"/>
        </w:rPr>
        <w:t xml:space="preserve"> 2 月 26 日</w:t>
      </w:r>
      <w:r>
        <w:rPr>
          <w:rFonts w:hint="eastAsia" w:ascii="宋体" w:hAnsi="宋体" w:eastAsia="宋体" w:cs="宋体"/>
          <w:b/>
          <w:bCs/>
          <w:color w:val="000000"/>
          <w:sz w:val="24"/>
          <w:szCs w:val="24"/>
          <w:highlight w:val="none"/>
          <w:lang w:eastAsia="zh-CN"/>
        </w:rPr>
        <w:t xml:space="preserve">北京时间09：30。</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（三）开标地点：“苏采云”系统“开标大厅”或进入徐州政府采购网--业务工作--用户登录，点击“苏采云”进入系统“开标大厅”。 </w:t>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4"/>
          <w:szCs w:val="24"/>
          <w:highlight w:val="none"/>
        </w:rPr>
        <w:t xml:space="preserve">五、采购人</w:t>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徐州市发展和改革委员会</w:t>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徐州市新城区昆仑大道1号行政中心西三区</w:t>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15950686058        </w:t>
      </w:r>
      <w:r/>
    </w:p>
    <w:p>
      <w:pPr>
        <w:ind w:left="0" w:right="0" w:firstLine="480"/>
        <w:jc w:val="both"/>
        <w:keepLines w:val="0"/>
        <w:keepNext w:val="0"/>
        <w:pageBreakBefore w:val="0"/>
        <w:spacing w:before="0" w:beforeAutospacing="0" w:after="0" w:afterAutospacing="0" w:line="360" w:lineRule="auto"/>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（四）采购项目联系人：</w:t>
      </w:r>
      <w:r>
        <w:rPr>
          <w:rFonts w:hint="eastAsia" w:ascii="宋体" w:hAnsi="宋体" w:eastAsia="宋体" w:cs="宋体"/>
          <w:color w:val="000000"/>
          <w:sz w:val="24"/>
          <w:szCs w:val="24"/>
          <w:highlight w:val="none"/>
          <w:lang w:val="en-US" w:eastAsia="zh-CN"/>
        </w:rPr>
        <w:t xml:space="preserve">赵光华</w:t>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4"/>
          <w:szCs w:val="24"/>
          <w:highlight w:val="none"/>
        </w:rPr>
        <w:t xml:space="preserve">六、采购代理机构</w:t>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永明项目管理有限公司</w:t>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eastAsia="zh-CN"/>
        </w:rPr>
        <w:t xml:space="preserve">址：江苏省徐州市云龙区绿地商务城蓝海officeA座21楼</w:t>
      </w:r>
      <w:r/>
    </w:p>
    <w:p>
      <w:pPr>
        <w:ind w:left="0" w:right="0" w:firstLine="480"/>
        <w:jc w:val="both"/>
        <w:keepLines w:val="0"/>
        <w:keepNext w:val="0"/>
        <w:pageBreakBefore w:val="0"/>
        <w:spacing w:before="0" w:beforeAutospacing="0" w:after="0" w:afterAutospacing="0" w:line="360" w:lineRule="auto"/>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电话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0516-83333882</w:t>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采购项目联系人：</w:t>
      </w:r>
      <w:r>
        <w:rPr>
          <w:rFonts w:hint="eastAsia" w:ascii="宋体" w:hAnsi="宋体" w:eastAsia="宋体" w:cs="宋体"/>
          <w:color w:val="000000"/>
          <w:sz w:val="24"/>
          <w:szCs w:val="24"/>
          <w:highlight w:val="none"/>
          <w:lang w:val="en-US" w:eastAsia="zh-CN"/>
        </w:rPr>
        <w:t xml:space="preserve">王啸</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numPr>
          <w:ilvl w:val="0"/>
          <w:numId w:val="2"/>
        </w:numPr>
        <w:ind w:left="0" w:right="0" w:firstLine="0"/>
        <w:jc w:val="center"/>
        <w:keepLines w:val="0"/>
        <w:keepNext w:val="0"/>
        <w:pageBreakBefore w:val="0"/>
        <w:spacing w:before="0" w:beforeAutospacing="0" w:after="0" w:afterAutospacing="0" w:line="360" w:lineRule="auto"/>
        <w:rPr>
          <w:rFonts w:hint="eastAsia" w:ascii="宋体" w:hAnsi="宋体" w:eastAsia="宋体" w:cs="宋体"/>
          <w:b/>
          <w:color w:val="000000"/>
          <w:sz w:val="28"/>
          <w:szCs w:val="28"/>
          <w:highlight w:val="none"/>
          <w:u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u w:val="none"/>
          <w:lang w:val="en-US" w:eastAsia="zh-CN"/>
        </w:rPr>
        <w:br w:type="page" w:clear="all"/>
      </w:r>
      <w:r>
        <w:rPr>
          <w:rFonts w:hint="eastAsia" w:ascii="宋体" w:hAnsi="宋体" w:eastAsia="宋体" w:cs="宋体"/>
          <w:b/>
          <w:color w:val="000000"/>
          <w:sz w:val="28"/>
          <w:szCs w:val="28"/>
          <w:highlight w:val="none"/>
          <w:u w:val="none"/>
          <w:lang w:val="en-US" w:eastAsia="zh-CN"/>
        </w:rPr>
        <w:t xml:space="preserve"> </w:t>
      </w:r>
      <w:r>
        <w:rPr>
          <w:rFonts w:hint="eastAsia" w:ascii="宋体" w:hAnsi="宋体" w:eastAsia="宋体" w:cs="宋体"/>
          <w:b/>
          <w:color w:val="000000"/>
          <w:sz w:val="28"/>
          <w:szCs w:val="28"/>
          <w:highlight w:val="none"/>
          <w:u w:val="none"/>
        </w:rPr>
        <w:t xml:space="preserve">投标人须知</w:t>
      </w:r>
      <w:r/>
    </w:p>
    <w:p>
      <w:pPr>
        <w:pStyle w:val="877"/>
        <w:numPr>
          <w:ilvl w:val="0"/>
          <w:numId w:val="0"/>
        </w:numPr>
        <w:rPr>
          <w:rFonts w:hint="eastAsia" w:ascii="宋体" w:hAnsi="宋体" w:eastAsia="宋体" w:cs="宋体"/>
          <w:color w:val="000000"/>
          <w:highlight w:val="none"/>
        </w:rPr>
      </w:pPr>
      <w:r>
        <w:rPr>
          <w:rFonts w:hint="eastAsia" w:ascii="宋体" w:hAnsi="宋体" w:eastAsia="宋体" w:cs="宋体"/>
          <w:color w:val="000000"/>
          <w:highlight w:val="none"/>
        </w:rPr>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一、总则</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（一）采购人。采购人即指依法进行政府采购的国家机关、事业单位和团体组织。</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（二）政府招标采购方式。政府采购货物或服务（以下简称“货物服务”）的招标方式，分为公开招标和邀请招标。</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（五）采购人委托采购代理机构代理招标的，采购代理机构必须在采购人委托的范围内依法开展采购活动。</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（六）投标人的资格条件：</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投标人是指响应招标、参加投标竞争的法人、其他组织或者自然人。</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2.投标人授权代表系指法定代表人或受法人委托的受托人。</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（七）投标费用：投标人应承担所有与准备和参加投标有关的费用。无论投标的结果如何，采购代理机构对上述费用不承担任何责任和义务。</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二、招标</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（八）招标文件应包括以下内容：</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第一章，投标邀请；</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第二章，投标人须知；</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第三章，投标资料表；</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第四章，评标标准；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第五章，拟签订的合同文本；</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第六章，采购需求；</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第七章，投标文件相关格式。</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（九）招标文件澄清或者修改：</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2.现场考察以本文件第三章《投标资料表》中的要求为准。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3.开标前答疑会以本文件第三章《投标资料表》中的要求为准。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三、投标</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（十）投标人应当按照招标文件的要求编制投标文件。投标文件应对招标文件提出的要求和条件作出实质性响应。</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（十二）投标文件的构成：</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1.投标文件的构成以本文件第三章《投标资料表》中的要求为准。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2.投标人应当提交的资格、资信证明文件，以本文件第三章《投标资料表》中的所提要求为准。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（十三）投标函和价格表、商务条件、交货和提供服务的时间：</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1.投标函和价格表的要求见本章（十二）、（十三），格式见本文件第七章《投标文件相关格式》中《投标函》和《开标一览表》。</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2.商务条件以本文件第三章《投标资料表》中的要求为准。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3.交货和提供服务的时间，以本文件第三章《投标资料表》中所提要求为准。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（十四）投标报价要求：</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1.投标人应按照招标文件的要求报出分项价格和总价。</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2.投标人应按照招标文件的要求进行报价，如投标人作出偏离，应在《偏离表》中列出。</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3.采购人不支付报价以外的任何费用。</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5.投标人只能提交一个投标价格，投标人提交多个价格的投标文件，在资格性、符合性检查时按照无效投标处理。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（十五）投标货币。以本文件第三章《投标资料表》中所提要求为准。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（十六）投标有效期：</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1.投标有效期为开标之日后</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eastAsia="zh-CN"/>
        </w:rPr>
        <w:t xml:space="preserve">天。采购人可以要求对投标有效期延长一次，但该延长期最长不得超过30天。</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（十七）投标文件的编制要求和签署要求：</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（1）投标人应由其法定代表人或法定代表人授权代表在规定的网上投标时间，凭 CA 证书登录“苏采云”系统在线编制投标文件（电子数据），并在投标截止时间之前上传投标文件。</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（2）投标人应对 CA 证书妥善保管，如被他人盗用投标，因此带来的结果均由投标人自行承担。</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（3）投标人应当对招标文件提出的要求和条件作出实质性响应，并在电子投标系统逐条应答。</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（4）投标人应对要求提供的资格证明文件（如资质证书、资格证书）、技术资料（如白皮书、彩页、手册、检测报告等）扫描上传至投标系统。</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（十八）投标文件的盖章要求</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1.投标文件的盖章要求以招标文件第三章《投标资料表》中的要求为准。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（二十）凡在招标文件要求提交投标文件的截止时间之后送达的投标文件，均为无效投标文件，“苏采云”系统将自动拒收。各投标人应在规定时间内通过 CA 证书进行网上解密。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（二十二）本项目不允许分包。</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在评标过程中发现投标人有上述情形的，评标委员会应当认定其投标无效，并书面报告本级财政部门。</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（二十四）有下列情形之一的，其投标无效。</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1.不同投标人的投标文件，由同一单位或者个人编制；</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2.不同投标人委托同一单位或者个人办理投标事宜；</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3.不同投标人的投标文件中，所载明的项目管理成员或联系人为同一人；</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4.不同投标人的投标文件，异常一致或者投标报价呈规律性差异；</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.不同投标人投标文件内容存在非正常一致、项目组成员出现同一人、投标文件中错误（或异常）一致或雷同、电子文档信息一致或雷同的、投标报价呈规律性差异的；</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.电子投标文件未按规定期限投标的；</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.电子投标文件未按招标文件要求签章的；</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.投标人未在规定时间内解密电子投标文件的；</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.投标文件未按招标文件规定的内容和要求填写的；没有在投标系统指定位置上传对应文件、材料的。</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.不具备招标文件中规定的资格要求的；</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.报价超过招标文件中规定的预算金额或者最高限价的；</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.投标文件含有采购人不能接受的附加条件的；</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.法律、法规和招标文件规定的其他无效情形。</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四、开标</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（二十五）开标：</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2.由电子招标投标交易平台主持，邀请投标人参加。</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3.所有投标单位使用 CA 证书在开标时间时，解密各自投标文件，由工作人员操作系统进行开标，投标人不足3家的，不得评标。</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5.投标人未参加开标的，视同认可开标结果。</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五、评标</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（二十六）公开招标采购项目开标结束后，采购人依法对投标人的资格进行审查。合格投标人不足3家的，不得评标。</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1.评标工作由采购代理机构负责组织，并履行下列职责：</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（2）宣布评标纪律；</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（3）公布投标人名单，告知评审专家应当回避的情形；</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（4）组织评标委员会推选评标组长（采购人代表不得担任组长）；</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（5）在评标期间采取必要的通讯管理措施，保证评标活动不受外界干扰；</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（6）根据评标委员会的要求介绍政府采购相关政策法规、招标文件；</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（8）核对评标结果，对有《</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"http://www.caigou2003.com/" \o "http://www.caigou2003.com/" </w:instrText>
      </w:r>
      <w:r>
        <w:rPr>
          <w:rFonts w:hint="eastAsia" w:ascii="宋体" w:hAnsi="宋体" w:eastAsia="宋体" w:cs="宋体"/>
          <w:color w:val="000000"/>
          <w:sz w:val="24"/>
          <w:szCs w:val="24"/>
          <w:highlight w:val="none"/>
          <w:lang w:eastAsia="zh-CN"/>
        </w:rPr>
        <w:fldChar w:fldCharType="separate"/>
      </w:r>
      <w:r>
        <w:rPr>
          <w:rFonts w:hint="eastAsia" w:ascii="宋体" w:hAnsi="宋体" w:eastAsia="宋体" w:cs="宋体"/>
          <w:color w:val="000000"/>
          <w:sz w:val="24"/>
          <w:szCs w:val="24"/>
          <w:highlight w:val="none"/>
          <w:lang w:eastAsia="zh-CN"/>
        </w:rPr>
        <w:t xml:space="preserve">政府采购</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（9）评审工作完成后，按照规定向评审专家支付劳务报酬和异地评审差旅费，不得向评审专家以外的其他人员支付评审劳务报酬； </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（10）处理与评标有关的其他事项。</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2.评标委员会负责具体评标事务，并独立履行下列职责：</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（1）审查、评价投标文件是否符合招标文件的商务、技术等实质性要求；</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（2）要求投标人对投标文件有关事项作出澄清或者说明；</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（3）对投标文件进行比较和评价；</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（4）确定中标候选人名单，以及根据采购人委托直接确定中标人；</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（5）向采购人、采购代理机构或有关部门报告评标中发现的违法行为。</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（二十七）评标方法分为最低评标价法和综合评分法。</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（二十八）评标</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1.评标工作程序：</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（1）投标文件初审。</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①资格性审查。</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②符合性审查。</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（2）澄清有关问题。</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（3）比较与评价。</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（4）推荐中标候选供应商名单。</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（5）编写评审报告（评标报告）。</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3.采用</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"http://lilun.caigou2003.com/recijiedu/2365668.html" \o "http://lilun.caigou2003.com/recijiedu/2365668.html" </w:instrText>
      </w:r>
      <w:r>
        <w:rPr>
          <w:rFonts w:hint="eastAsia" w:ascii="宋体" w:hAnsi="宋体" w:eastAsia="宋体" w:cs="宋体"/>
          <w:color w:val="000000"/>
          <w:sz w:val="24"/>
          <w:szCs w:val="24"/>
          <w:highlight w:val="none"/>
          <w:lang w:eastAsia="zh-CN"/>
        </w:rPr>
        <w:fldChar w:fldCharType="separate"/>
      </w:r>
      <w:r>
        <w:rPr>
          <w:rFonts w:hint="eastAsia" w:ascii="宋体" w:hAnsi="宋体" w:eastAsia="宋体" w:cs="宋体"/>
          <w:color w:val="000000"/>
          <w:sz w:val="24"/>
          <w:szCs w:val="24"/>
          <w:highlight w:val="none"/>
          <w:lang w:eastAsia="zh-CN"/>
        </w:rPr>
        <w:t xml:space="preserve">最低评标价法</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"http://lilun.caigou2003.com/recijiedu/2365667.html" \o "http://lilun.caigou2003.com/recijiedu/2365667.html" </w:instrText>
      </w:r>
      <w:r>
        <w:rPr>
          <w:rFonts w:hint="eastAsia" w:ascii="宋体" w:hAnsi="宋体" w:eastAsia="宋体" w:cs="宋体"/>
          <w:color w:val="000000"/>
          <w:sz w:val="24"/>
          <w:szCs w:val="24"/>
          <w:highlight w:val="none"/>
          <w:lang w:eastAsia="zh-CN"/>
        </w:rPr>
        <w:fldChar w:fldCharType="separate"/>
      </w:r>
      <w:r>
        <w:rPr>
          <w:rFonts w:hint="eastAsia" w:ascii="宋体" w:hAnsi="宋体" w:eastAsia="宋体" w:cs="宋体"/>
          <w:color w:val="000000"/>
          <w:sz w:val="24"/>
          <w:szCs w:val="24"/>
          <w:highlight w:val="none"/>
          <w:lang w:eastAsia="zh-CN"/>
        </w:rPr>
        <w:t xml:space="preserve">综合评分法</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非单一产品采购项目，多家投标人提供的核心产品品牌相同的，按前两款规定处理。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（二十九）投标文件报价出现前后不一致的，按照下列规定修正：</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1.投标文件中开标一览表（报价表）内容与投标文件中相应内容不一致的，以开标一览表（报价表）为准；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2.大写金额和小写金额不一致的，以大写金额为准；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3.单价金额小数点或者百分比有明显错位的，以开标一览表的总价为准，并修改单价；</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4.总价金额与按单价合计金额不一致的，以单价金额计算结果为准。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评标中需要投标人对投标文件澄清或者说明的，应当通过“苏采云”系统交换数据电文。在评标期间，请投标人保持在线。</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（三十）实施政府采购异常低价审查的有关要求：</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评审过程中出现下列情形之一的，评审委员会应当启动异常低价投标（响应）审查程序：</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）投标（响应）报价低于采购项目预算50%的，即投标（响应）报价＜采购项目预算×50%；</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）投标（响应）报价低于采购项目最高限价45％的，即投标（响应）报价＜采购项目最高限价×45%；</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）评审委员会认定的供应商报价过低、有可能影响产品质量或者不能诚信履约的其他情形。</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启动异常低价投标（响应）审查后，</w:t>
      </w:r>
      <w:bookmarkStart w:id="1" w:name="OLE_LINK5"/>
      <w:r/>
      <w:bookmarkStart w:id="2" w:name="OLE_LINK6"/>
      <w:r>
        <w:rPr>
          <w:rFonts w:hint="eastAsia" w:ascii="宋体" w:hAnsi="宋体" w:eastAsia="宋体" w:cs="宋体"/>
          <w:color w:val="000000"/>
          <w:sz w:val="24"/>
          <w:szCs w:val="24"/>
          <w:highlight w:val="none"/>
          <w:lang w:eastAsia="zh-CN"/>
        </w:rPr>
        <w:t xml:space="preserve">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1"/>
      <w:r/>
      <w:bookmarkEnd w:id="2"/>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（三十二）废标条款：</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出现下列情形之一的，应予废标。</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1.符合专业条件的供应商或者对招标文件作实质响应的供应商不足三家的；</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2.出现影响采购公正的违法、违规行为的；</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3.投标人的报价均超过了采购预算，采购人不能支付的；</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4.因重大变故，采购任务取消的。</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六、定标</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（三十三）采购代理机构应当在评标结束后2个工作日内将评标报告送采购人。</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（三十四）采购人应当自收到评标报告之日起5个工作日内，在评标报告确定的中标候选人名单中按顺序确定中标人。</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（三十五）签订合同前，中标人必须向采购人提交其投标文件中所有扫描件的原件，采购人核查无误后，签订合同。如中标人不能在采购人规定的时间内向采购人提供原件，将被采购人视为放弃中标资格。</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七、政府采购合同</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（三十六）签订政府采购合同（合同签订方式）：</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采购人不得向中标人提出任何不合理的要求作为签订合同的条件。</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2.中标或者中标人拒绝与采购人签订合同的，采购人可以按照评审报告推荐的中标或者成交候选人名单排序，确定下一个候选人为中标或者中标人，也可以重新开展政府采购活动。</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（三十七）采购人与中标人应当根据合同的约定依法履行合同义务。政府采购合同的履行、违约责任和解决争议的方法等，按《中华人民共和国民法典》相关条款执行。</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（三十八）履约保证金：</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1.中标人应在签订采购合同前，向采购人提交本文件第三章《投标资料表》中规定金额的履约保证金。</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3.履约保证金退还：</w:t>
      </w:r>
      <w:bookmarkStart w:id="3" w:name="OLE_LINK77"/>
      <w:r>
        <w:rPr>
          <w:rFonts w:hint="eastAsia" w:ascii="宋体" w:hAnsi="宋体" w:eastAsia="宋体" w:cs="宋体"/>
          <w:color w:val="000000"/>
          <w:sz w:val="24"/>
          <w:szCs w:val="24"/>
          <w:highlight w:val="none"/>
          <w:lang w:eastAsia="zh-CN"/>
        </w:rPr>
        <w:t xml:space="preserve">中标人缴纳的履约保证金，</w:t>
      </w:r>
      <w:r>
        <w:rPr>
          <w:rFonts w:hint="eastAsia" w:ascii="宋体" w:hAnsi="宋体" w:cs="宋体"/>
          <w:color w:val="000000"/>
          <w:sz w:val="24"/>
          <w:highlight w:val="none"/>
        </w:rPr>
        <w:t xml:space="preserve">待合同标的履约完成、验收合格，</w:t>
      </w:r>
      <w:r>
        <w:rPr>
          <w:rFonts w:hint="eastAsia" w:ascii="宋体" w:hAnsi="宋体" w:eastAsia="宋体" w:cs="宋体"/>
          <w:color w:val="000000"/>
          <w:sz w:val="24"/>
          <w:szCs w:val="24"/>
          <w:highlight w:val="none"/>
        </w:rPr>
        <w:t xml:space="preserve">双方书面确认无责任纠纷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lang w:eastAsia="zh-CN"/>
        </w:rPr>
        <w:t xml:space="preserve">并</w:t>
      </w:r>
      <w:r>
        <w:rPr>
          <w:rFonts w:hint="eastAsia" w:ascii="宋体" w:hAnsi="宋体" w:cs="宋体"/>
          <w:color w:val="000000"/>
          <w:sz w:val="24"/>
          <w:highlight w:val="none"/>
        </w:rPr>
        <w:t xml:space="preserve">办理交付证明后30日内一次性无息退还</w:t>
      </w:r>
      <w:r>
        <w:rPr>
          <w:rFonts w:hint="eastAsia" w:ascii="宋体" w:hAnsi="宋体" w:eastAsia="宋体" w:cs="宋体"/>
          <w:color w:val="000000"/>
          <w:sz w:val="24"/>
          <w:szCs w:val="24"/>
          <w:highlight w:val="none"/>
          <w:lang w:eastAsia="zh-CN"/>
        </w:rPr>
        <w:t xml:space="preserve">。如果中标人不履行合同约定的义务，未能完全履行合同规定的义务或其履行不符合合同的约定，招标人有权扣除履约保证金取得补偿。</w:t>
      </w:r>
      <w:bookmarkEnd w:id="3"/>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（三十九）腐败和欺诈行为：</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1.采购代理机构、采购人、投标人等参与招投标的各方，均应在招标、采购、合同执行等过程中保持廉洁和最高的道德水准。</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（1）腐败和欺诈行为的含义：</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②“欺诈行为”系指为了影响招标、采购和合同执行等过程，隐瞒事实真相，给买方、卖方、采购代理机构及他人造成损害的行为，其中包括投标人之间的串通行为。</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（2）如果被推荐的中标人有腐败和欺诈行为，将取消其中标资格。</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（3）如果投标人在任何时候，被法院及政府有关管理部门认定为有腐败和欺诈行为，采购代理机构有权拒绝其投标、取消其中标资格和撤销其已签署的合同。</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八、询问和质疑</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（四十）询问和质疑</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九、电子招标投标交易平台</w:t>
      </w:r>
      <w:r/>
    </w:p>
    <w:p>
      <w:pPr>
        <w:ind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080" w:bottom="1383" w:left="1080" w:header="851" w:footer="992" w:gutter="0"/>
          <w:pgNumType w:start="1"/>
          <w:cols w:num="1" w:sep="0" w:space="1701" w:equalWidth="1"/>
          <w:docGrid w:linePitch="360"/>
        </w:sectPr>
      </w:pPr>
      <w:r>
        <w:rPr>
          <w:rFonts w:hint="eastAsia" w:ascii="宋体" w:hAnsi="宋体" w:eastAsia="宋体" w:cs="宋体"/>
          <w:color w:val="000000"/>
          <w:sz w:val="24"/>
          <w:szCs w:val="24"/>
          <w:highlight w:val="none"/>
          <w:lang w:eastAsia="zh-CN"/>
        </w:rPr>
        <w:t xml:space="preserve">（四十一）电子招标投标交易平台（即“苏采云”系统，网址：http://jszfcg.jsczt.cn/）相关要求是本招标文件的组成部分。</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u w:val="none"/>
        </w:rPr>
        <w:t xml:space="preserve">第三章</w:t>
      </w: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投标资料表</w:t>
      </w:r>
      <w:r/>
    </w:p>
    <w:p>
      <w:pPr>
        <w:ind w:left="0" w:right="0" w:firstLine="48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37"/>
        <w:tblW w:w="969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82"/>
        <w:gridCol w:w="8510"/>
      </w:tblGrid>
      <w:tr>
        <w:trPr>
          <w:jc w:val="center"/>
          <w:trHeight w:val="181"/>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val="en-US" w:eastAsia="en-US" w:bidi="ar-SA"/>
              </w:rPr>
              <w:t xml:space="preserve">条款项号</w:t>
            </w:r>
            <w:r/>
          </w:p>
        </w:tc>
        <w:tc>
          <w:tcPr>
            <w:tcMar>
              <w:left w:w="108" w:type="dxa"/>
              <w:top w:w="0" w:type="dxa"/>
              <w:right w:w="108" w:type="dxa"/>
              <w:bottom w:w="0" w:type="dxa"/>
            </w:tcMar>
            <w:tcW w:w="851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2"/>
                <w:highlight w:val="none"/>
                <w:lang w:val="en-US" w:eastAsia="en-US" w:bidi="ar-SA"/>
              </w:rPr>
              <w:t xml:space="preserve">内 </w:t>
            </w:r>
            <w:r>
              <w:rPr>
                <w:rFonts w:hint="eastAsia" w:ascii="宋体" w:hAnsi="宋体" w:eastAsia="宋体" w:cs="宋体"/>
                <w:b/>
                <w:color w:val="000000"/>
                <w:sz w:val="24"/>
                <w:szCs w:val="22"/>
                <w:highlight w:val="none"/>
                <w:lang w:val="en-US" w:eastAsia="zh-CN" w:bidi="ar-SA"/>
              </w:rPr>
              <w:t xml:space="preserve">   </w:t>
            </w:r>
            <w:r>
              <w:rPr>
                <w:rFonts w:hint="eastAsia" w:ascii="宋体" w:hAnsi="宋体" w:eastAsia="宋体" w:cs="宋体"/>
                <w:b/>
                <w:color w:val="000000"/>
                <w:sz w:val="24"/>
                <w:szCs w:val="22"/>
                <w:highlight w:val="none"/>
                <w:lang w:val="en-US" w:eastAsia="en-US" w:bidi="ar-SA"/>
              </w:rPr>
              <w:t xml:space="preserve">容</w:t>
            </w:r>
            <w:r/>
          </w:p>
        </w:tc>
      </w:tr>
      <w:tr>
        <w:trPr>
          <w:jc w:val="center"/>
          <w:trHeight w:val="484"/>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一</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总则</w:t>
            </w:r>
            <w:r/>
          </w:p>
        </w:tc>
      </w:tr>
      <w:tr>
        <w:trPr>
          <w:jc w:val="center"/>
          <w:trHeight w:val="441"/>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一</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本项目采购人：</w:t>
            </w:r>
            <w:r>
              <w:rPr>
                <w:rFonts w:hint="eastAsia" w:ascii="宋体" w:hAnsi="宋体" w:eastAsia="宋体" w:cs="宋体"/>
                <w:color w:val="000000"/>
                <w:sz w:val="24"/>
                <w:szCs w:val="24"/>
                <w:highlight w:val="none"/>
                <w:lang w:val="en-US" w:eastAsia="zh-CN" w:bidi="ar-SA"/>
              </w:rPr>
              <w:t xml:space="preserve">徐州市发展和改革委员会</w:t>
            </w:r>
            <w:r/>
          </w:p>
        </w:tc>
      </w:tr>
      <w:tr>
        <w:trPr>
          <w:jc w:val="center"/>
          <w:trHeight w:val="413"/>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二</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本次采购采用的政府采购方式：公开招标。</w:t>
            </w:r>
            <w:r/>
          </w:p>
        </w:tc>
      </w:tr>
      <w:tr>
        <w:trPr>
          <w:jc w:val="center"/>
          <w:trHeight w:val="552"/>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四</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采购人确定的采购项目属性：</w:t>
            </w:r>
            <w:r>
              <w:rPr>
                <w:rFonts w:hint="eastAsia" w:ascii="宋体" w:hAnsi="宋体" w:eastAsia="宋体" w:cs="宋体"/>
                <w:color w:val="000000"/>
                <w:sz w:val="24"/>
                <w:szCs w:val="24"/>
                <w:highlight w:val="none"/>
                <w:lang w:val="en-US" w:eastAsia="zh-CN" w:bidi="ar-SA"/>
              </w:rPr>
              <w:t xml:space="preserve">货物。</w:t>
            </w:r>
            <w:r/>
          </w:p>
        </w:tc>
      </w:tr>
      <w:tr>
        <w:trPr>
          <w:jc w:val="center"/>
          <w:trHeight w:val="571"/>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五</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本项目采购代理机构：</w:t>
            </w:r>
            <w:r>
              <w:rPr>
                <w:rFonts w:hint="eastAsia" w:ascii="宋体" w:hAnsi="宋体" w:eastAsia="宋体" w:cs="宋体"/>
                <w:color w:val="000000"/>
                <w:sz w:val="24"/>
                <w:szCs w:val="24"/>
                <w:highlight w:val="none"/>
                <w:lang w:val="en-US" w:eastAsia="zh-CN" w:bidi="ar-SA"/>
              </w:rPr>
              <w:t xml:space="preserve">永明项目管理有限公司</w:t>
            </w:r>
            <w:r/>
          </w:p>
        </w:tc>
      </w:tr>
      <w:tr>
        <w:trPr>
          <w:jc w:val="center"/>
          <w:trHeight w:val="760"/>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六</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投标人的资格条件：</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lang w:val="en-US" w:eastAsia="en-US" w:bidi="ar-SA"/>
              </w:rPr>
              <w:t xml:space="preserve">符合《中华人民共和国政府采购法》第二十二条的规定</w:t>
            </w:r>
            <w:r>
              <w:rPr>
                <w:rFonts w:hint="eastAsia" w:ascii="宋体" w:hAnsi="宋体" w:eastAsia="宋体" w:cs="宋体"/>
                <w:b/>
                <w:bCs/>
                <w:color w:val="000000"/>
                <w:sz w:val="24"/>
                <w:szCs w:val="24"/>
                <w:highlight w:val="none"/>
                <w:lang w:val="en-US" w:eastAsia="zh-CN" w:bidi="ar-SA"/>
              </w:rPr>
              <w:t xml:space="preserve">；</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2.</w:t>
            </w:r>
            <w:r>
              <w:rPr>
                <w:rFonts w:hint="eastAsia" w:ascii="Arial" w:hAnsi="Arial" w:eastAsia="Arial" w:cs="仿宋"/>
                <w:color w:val="000000"/>
                <w:sz w:val="24"/>
                <w:szCs w:val="24"/>
                <w:highlight w:val="none"/>
                <w:lang w:val="en-US" w:eastAsia="zh-CN" w:bidi="ar-SA"/>
              </w:rPr>
              <w:t xml:space="preserve">落实政府采购政策需满足的资格要求：</w:t>
            </w:r>
            <w:r>
              <w:rPr>
                <w:rFonts w:hint="eastAsia" w:ascii="Arial" w:hAnsi="Arial" w:eastAsia="Arial" w:cs="仿宋"/>
                <w:b/>
                <w:bCs/>
                <w:color w:val="000000"/>
                <w:sz w:val="24"/>
                <w:szCs w:val="24"/>
                <w:highlight w:val="none"/>
                <w:lang w:val="en-US" w:eastAsia="zh-CN" w:bidi="ar-SA"/>
              </w:rPr>
              <w:t xml:space="preserve">此项目属于专门面向中小微企业采购的项目，供应商所提供的货物全部由符合政策要求的中小企业制造，供应商提供的货物的制造商应全部为中小微企业、监狱企业、残疾人福利性单位；</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3.本项目的特定资格要求：</w:t>
            </w:r>
            <w:bookmarkStart w:id="4" w:name="_Toc35393792"/>
            <w:r/>
            <w:bookmarkEnd w:id="4"/>
            <w:r/>
            <w:bookmarkStart w:id="5" w:name="_Toc35393623"/>
            <w:r/>
            <w:bookmarkEnd w:id="5"/>
            <w:r>
              <w:rPr>
                <w:rFonts w:hint="eastAsia" w:ascii="宋体" w:hAnsi="宋体" w:eastAsia="宋体" w:cs="宋体"/>
                <w:color w:val="000000"/>
                <w:sz w:val="24"/>
                <w:szCs w:val="24"/>
                <w:highlight w:val="none"/>
                <w:lang w:val="en-US" w:eastAsia="zh-CN" w:bidi="ar-SA"/>
              </w:rPr>
              <w:t xml:space="preserve">无。</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同时明确相关事项如下：</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US" w:eastAsia="en-US" w:bidi="ar-SA"/>
              </w:rPr>
              <w:t xml:space="preserve">、本项目不接受联合体参与采购活动。</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二</w:t>
            </w:r>
            <w:r>
              <w:rPr>
                <w:rFonts w:hint="eastAsia" w:ascii="宋体" w:hAnsi="宋体" w:eastAsia="宋体" w:cs="宋体"/>
                <w:color w:val="000000"/>
                <w:sz w:val="24"/>
                <w:szCs w:val="24"/>
                <w:highlight w:val="none"/>
                <w:lang w:val="en-US" w:eastAsia="en-US" w:bidi="ar-SA"/>
              </w:rPr>
              <w:t xml:space="preserve">、单位负责人为同一人或者存在直接控股、管理关系的不同供应商，不得参加同一合同项下的政府采购活动。</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三</w:t>
            </w:r>
            <w:r>
              <w:rPr>
                <w:rFonts w:hint="eastAsia" w:ascii="宋体" w:hAnsi="宋体" w:eastAsia="宋体" w:cs="宋体"/>
                <w:color w:val="000000"/>
                <w:sz w:val="24"/>
                <w:szCs w:val="24"/>
                <w:highlight w:val="none"/>
                <w:lang w:val="en-US" w:eastAsia="en-US" w:bidi="ar-SA"/>
              </w:rPr>
              <w:t xml:space="preserve">、为本采购项目提供规范编制或者项目管理、监理、检测等服务的供应商，不得再参加本采购项目的采购活动。</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四</w:t>
            </w:r>
            <w:r>
              <w:rPr>
                <w:rFonts w:hint="eastAsia" w:ascii="宋体" w:hAnsi="宋体" w:eastAsia="宋体" w:cs="宋体"/>
                <w:color w:val="000000"/>
                <w:sz w:val="24"/>
                <w:szCs w:val="24"/>
                <w:highlight w:val="none"/>
                <w:lang w:val="en-US" w:eastAsia="en-US" w:bidi="ar-SA"/>
              </w:rPr>
              <w:t xml:space="preserve">、查询及使用供应商信用记录：</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一</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由采购人查询信用信息。</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二</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查询渠道包括：</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1.“信用中国”网</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lang w:val="en-US" w:eastAsia="en-US" w:bidi="ar-SA"/>
              </w:rPr>
              <w:instrText xml:space="preserve"> HYPERLINK "http://www.creditchina.gov.cn/" \o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val="en-US" w:eastAsia="en-US" w:bidi="ar-SA"/>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2.中国政府采购网</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lang w:val="en-US" w:eastAsia="en-US" w:bidi="ar-SA"/>
              </w:rPr>
              <w:instrText xml:space="preserve"> HYPERLINK "http://www.ccgp.gov.cn/" \o "http://www.ccgp.gov.cn/"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val="en-US" w:eastAsia="en-US" w:bidi="ar-SA"/>
              </w:rPr>
              <w:t xml:space="preserve">www.ccgp.gov.cn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3.“信用江苏”网</w:t>
            </w:r>
            <w:r>
              <w:rPr>
                <w:rFonts w:hint="eastAsia" w:ascii="宋体" w:hAnsi="宋体" w:eastAsia="宋体" w:cs="宋体"/>
                <w:color w:val="000000"/>
                <w:sz w:val="24"/>
                <w:szCs w:val="24"/>
                <w:highlight w:val="none"/>
                <w:lang w:val="en-US" w:eastAsia="zh-CN" w:bidi="ar-SA"/>
              </w:rPr>
              <w:t xml:space="preserve">（http://credit.jiangsu.gov.cn）</w:t>
            </w:r>
            <w:r>
              <w:rPr>
                <w:rFonts w:hint="eastAsia" w:ascii="宋体" w:hAnsi="宋体" w:eastAsia="宋体" w:cs="宋体"/>
                <w:color w:val="000000"/>
                <w:sz w:val="24"/>
                <w:szCs w:val="24"/>
                <w:highlight w:val="none"/>
                <w:lang w:val="en-US" w:eastAsia="en-US" w:bidi="ar-SA"/>
              </w:rPr>
              <w:t xml:space="preserve">；</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4.“信用中国</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江苏徐州</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”网</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lang w:val="en-US" w:eastAsia="en-US" w:bidi="ar-SA"/>
              </w:rPr>
              <w:instrText xml:space="preserve"> HYPERLINK "http://www.xuzhoucredit.gov.cn/" \o "http://www.xuzhoucredit.gov.cn/"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val="en-US" w:eastAsia="en-US" w:bidi="ar-SA"/>
              </w:rPr>
              <w:t xml:space="preserve">www.xuzhoucredit.gov.cn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bidi="ar-SA"/>
              </w:rPr>
              <w:t xml:space="preserve">）。</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三</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截止时点</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查询环节</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：评标结束前。</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四</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信用信息查询记录和证据留存的具体方式：网页截屏打印，与其他采购文件一并保存。</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五</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信用信息的使用规则：</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666"/>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七</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招标代理服务费由中标人支付，标准不高于《招标代理服务收费标准》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见附件</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w:t>
            </w:r>
            <w:r/>
          </w:p>
        </w:tc>
      </w:tr>
      <w:tr>
        <w:trPr>
          <w:jc w:val="center"/>
          <w:trHeight w:val="530"/>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二</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招标</w:t>
            </w:r>
            <w:r/>
          </w:p>
        </w:tc>
      </w:tr>
      <w:tr>
        <w:trPr>
          <w:jc w:val="center"/>
          <w:trHeight w:val="2815"/>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一</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对招标文件进行澄清或者修改的，通过“苏采云”系统及徐州政府采购网公告澄清或者修改的内容。澄清或者修改的内容以所发布的本项目的“更正</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澄清</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公告”的形式通知所有获取招标文件的潜在投标人。发布本项目的“更正</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澄清</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公告”后采购代理机构已尽通知义务。敬请各潜在投标人关注本项目的“更正</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澄清</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公告”，并通过“苏采云”系统重新下载更正</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澄清</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后的采购文件</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后缀名为</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kedt”</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，离线编制投标文件，否则，将自行承担相应的风险。</w:t>
            </w:r>
            <w:r/>
          </w:p>
        </w:tc>
      </w:tr>
      <w:tr>
        <w:trPr>
          <w:jc w:val="center"/>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二</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自行现场勘察。</w:t>
            </w:r>
            <w:r/>
          </w:p>
        </w:tc>
      </w:tr>
      <w:tr>
        <w:trPr>
          <w:jc w:val="center"/>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三</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不安排开标前答疑会。</w:t>
            </w:r>
            <w:r/>
          </w:p>
        </w:tc>
      </w:tr>
      <w:tr>
        <w:trPr>
          <w:jc w:val="center"/>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三</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投标</w:t>
            </w:r>
            <w:r/>
          </w:p>
        </w:tc>
      </w:tr>
      <w:tr>
        <w:trPr>
          <w:jc w:val="center"/>
          <w:trHeight w:val="482"/>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一</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投标文件的语言为中文</w:t>
            </w:r>
            <w:r/>
          </w:p>
        </w:tc>
      </w:tr>
      <w:tr>
        <w:trPr>
          <w:jc w:val="center"/>
          <w:trHeight w:val="570"/>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二</w:t>
            </w:r>
            <w:r>
              <w:rPr>
                <w:rFonts w:hint="eastAsia" w:ascii="宋体" w:hAnsi="宋体" w:eastAsia="宋体" w:cs="宋体"/>
                <w:color w:val="000000"/>
                <w:sz w:val="24"/>
                <w:szCs w:val="24"/>
                <w:highlight w:val="none"/>
                <w:lang w:val="en-US" w:eastAsia="zh-CN" w:bidi="ar-SA"/>
              </w:rPr>
              <w:t xml:space="preserve">）</w:t>
            </w:r>
            <w:r/>
          </w:p>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b/>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en-US" w:bidi="ar-SA"/>
              </w:rPr>
              <w:t xml:space="preserve">投标文件编制要求：</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请按照以下要求</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包括但不限于以下要求</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制作：</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b/>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en-US" w:bidi="ar-SA"/>
              </w:rPr>
              <w:t xml:space="preserve">一、基本目录</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1.《开标</w:t>
            </w:r>
            <w:r>
              <w:rPr>
                <w:rFonts w:hint="eastAsia" w:ascii="宋体" w:hAnsi="宋体" w:eastAsia="宋体" w:cs="宋体"/>
                <w:color w:val="000000"/>
                <w:sz w:val="21"/>
                <w:szCs w:val="21"/>
                <w:highlight w:val="none"/>
                <w:lang w:val="en-US" w:eastAsia="en-US" w:bidi="ar-SA"/>
              </w:rPr>
              <w:t xml:space="preserve">一览表》</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加盖电子签章，政府采购客户端工具输入报价自动生成</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en-US" w:bidi="ar-SA"/>
              </w:rPr>
              <w:t xml:space="preserve">；</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2.所投产品的环境标志产品认证证书原件的扫描件（如有）。</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注：</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（2）环境标志产品认证证书是否符合要求，采购人评标时查询中国政府采购网（www.ccgp.gov.cn）相关内容后确定。</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3.所投产品的节能产品认证证书原件的扫描件（如有）。</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注：</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（2）节能产品认证证书是否符合要求，采购人评标时查询中国政府采购网（www.ccgp.gov.cn）相关内容后确定。</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en-US" w:bidi="ar-SA"/>
              </w:rPr>
              <w:t xml:space="preserve">二、资格条件</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en-US" w:bidi="ar-SA"/>
              </w:rPr>
              <w:t xml:space="preserve">必须提供，否则投标无效</w:t>
            </w:r>
            <w:r>
              <w:rPr>
                <w:rFonts w:hint="eastAsia" w:ascii="宋体" w:hAnsi="宋体" w:eastAsia="宋体" w:cs="宋体"/>
                <w:b/>
                <w:bCs/>
                <w:color w:val="000000"/>
                <w:sz w:val="24"/>
                <w:szCs w:val="24"/>
                <w:highlight w:val="none"/>
                <w:lang w:val="en-US" w:eastAsia="zh-CN" w:bidi="ar-SA"/>
              </w:rPr>
              <w:t xml:space="preserve">）</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1.投标人合法有效的营业执照扫描件，或事业单位法人证书扫描件，或民办非企业单位登记证书扫描件。</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2.财务状况报告（即提供投标人的本项目开标时间前6个月内任何1月的</w:t>
            </w:r>
            <w:r>
              <w:rPr>
                <w:rFonts w:hint="eastAsia" w:ascii="宋体" w:hAnsi="宋体" w:eastAsia="宋体" w:cs="宋体"/>
                <w:b/>
                <w:bCs/>
                <w:color w:val="000000"/>
                <w:sz w:val="24"/>
                <w:szCs w:val="24"/>
                <w:highlight w:val="none"/>
                <w:lang w:val="en-US" w:eastAsia="zh-CN" w:bidi="ar-SA"/>
              </w:rPr>
              <w:t xml:space="preserve">资产负债表、利润表扫描件各一份</w:t>
            </w:r>
            <w:r>
              <w:rPr>
                <w:rFonts w:hint="eastAsia" w:ascii="宋体" w:hAnsi="宋体" w:eastAsia="宋体" w:cs="宋体"/>
                <w:color w:val="000000"/>
                <w:sz w:val="24"/>
                <w:szCs w:val="24"/>
                <w:highlight w:val="none"/>
                <w:lang w:val="en-US" w:eastAsia="zh-CN" w:bidi="ar-SA"/>
              </w:rPr>
              <w:t xml:space="preserve">；或提供投标人</w:t>
            </w:r>
            <w:r>
              <w:rPr>
                <w:rFonts w:hint="eastAsia" w:ascii="宋体" w:hAnsi="宋体" w:eastAsia="宋体" w:cs="宋体"/>
                <w:b/>
                <w:bCs/>
                <w:color w:val="000000"/>
                <w:sz w:val="24"/>
                <w:szCs w:val="24"/>
                <w:highlight w:val="none"/>
                <w:lang w:val="en-US" w:eastAsia="zh-CN" w:bidi="ar-SA"/>
              </w:rPr>
              <w:t xml:space="preserve">上年度经审计的财务报告</w:t>
            </w:r>
            <w:r>
              <w:rPr>
                <w:rFonts w:hint="eastAsia" w:ascii="宋体" w:hAnsi="宋体" w:eastAsia="宋体" w:cs="宋体"/>
                <w:color w:val="000000"/>
                <w:sz w:val="24"/>
                <w:szCs w:val="24"/>
                <w:highlight w:val="none"/>
                <w:lang w:val="en-US" w:eastAsia="zh-CN" w:bidi="ar-SA"/>
              </w:rPr>
              <w:t xml:space="preserve">扫描件一份；或投标人的本项目开标时间前6个月内任何1月银行出具的资信证明扫描件一份）。</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3.投标人的本项目开标时间前6个月内任何1个月的</w:t>
            </w:r>
            <w:r>
              <w:rPr>
                <w:rFonts w:hint="eastAsia" w:ascii="宋体" w:hAnsi="宋体" w:eastAsia="宋体" w:cs="宋体"/>
                <w:b/>
                <w:bCs/>
                <w:color w:val="000000"/>
                <w:sz w:val="24"/>
                <w:szCs w:val="24"/>
                <w:highlight w:val="none"/>
                <w:lang w:val="en-US" w:eastAsia="zh-CN" w:bidi="ar-SA"/>
              </w:rPr>
              <w:t xml:space="preserve">依法缴纳税收扫描件和社会保障资金扫描件的相关材料各一份（依法免税或不需要缴纳社会保障资金的供应商,提供相应文件扫描件证明其依法免税或不需要缴纳社会保障资金)</w:t>
            </w:r>
            <w:r>
              <w:rPr>
                <w:rFonts w:hint="eastAsia" w:ascii="宋体" w:hAnsi="宋体" w:eastAsia="宋体" w:cs="宋体"/>
                <w:color w:val="000000"/>
                <w:sz w:val="24"/>
                <w:szCs w:val="24"/>
                <w:highlight w:val="none"/>
                <w:lang w:val="en-US" w:eastAsia="zh-CN" w:bidi="ar-SA"/>
              </w:rPr>
              <w:t xml:space="preserve">。</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4.具备履行合同所必需的设备和专业技术能力的证明材料：提供具备履行合同所必需的设备和专业技术能力的书面声明（加盖电子签章，格式见招标文件第七章《投标文件相关格式》）。</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5.投标人参加政府采购活动前3年内在经营活动中没有重大违法记录的书面声明（加盖电子签章，格式见附件）。</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6.投标人《中小企业声明函》（加盖电子签章，格式见招标文件第七章《投标文件相关格式》）（必须提供，请填写完整）。查询渠道参考工业和信息化部发布的中小企业规模自测小程序。中小企业规模自测小程序详见《中小企业声明函》。</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注：</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2、投标人为残疾人福利性单位的，视同小微企业，提供《残疾人福利性单位声明函》（加盖电子签章，格式见招标文件第七章《投标文件相关格式》）。</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享受政府采购支持政策的残疾人福利性单位应当同时满足以下条件：</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①安置的残疾人占本单位在职职工人数的比例不低于25%（含25%），并且安置的残疾人人数不少于10人（含10人）；</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②依法与安置的每位残疾人签订了一年以上（含一年）的劳动合同或服务协议；</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③为安置的每位残疾人按月足额缴纳了基本养老保险、基本医疗保险、失业保险、工伤保险和生育保险等社会保险费；</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④通过银行等金融机构向安置的每位残疾人，按月支付了不低于单位所在区县适用的经省级人民政府批准的月最低工资标准的工资；</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具体以《三部门联合发布关于促进残疾人就业政府采购政策的通知》（财库〔2017〕141号）规定为准。</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en-US" w:bidi="ar-SA"/>
              </w:rPr>
              <w:t xml:space="preserve">三、符合条件</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en-US" w:bidi="ar-SA"/>
              </w:rPr>
              <w:t xml:space="preserve">必须提供，否则投标无效</w:t>
            </w:r>
            <w:r>
              <w:rPr>
                <w:rFonts w:hint="eastAsia" w:ascii="宋体" w:hAnsi="宋体" w:eastAsia="宋体" w:cs="宋体"/>
                <w:b/>
                <w:bCs/>
                <w:color w:val="000000"/>
                <w:sz w:val="24"/>
                <w:szCs w:val="24"/>
                <w:highlight w:val="none"/>
                <w:lang w:val="en-US" w:eastAsia="zh-CN" w:bidi="ar-SA"/>
              </w:rPr>
              <w:t xml:space="preserve">）</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一</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报价</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SA"/>
              </w:rPr>
              <w:t xml:space="preserve">分项价格表</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加盖</w:t>
            </w:r>
            <w:r>
              <w:rPr>
                <w:rFonts w:hint="eastAsia" w:ascii="宋体" w:hAnsi="宋体" w:eastAsia="宋体" w:cs="宋体"/>
                <w:color w:val="000000"/>
                <w:sz w:val="24"/>
                <w:szCs w:val="24"/>
                <w:highlight w:val="none"/>
                <w:lang w:val="en-US" w:eastAsia="zh-CN" w:bidi="ar-SA"/>
              </w:rPr>
              <w:t xml:space="preserve">电子签章</w:t>
            </w:r>
            <w:r>
              <w:rPr>
                <w:rFonts w:hint="eastAsia" w:ascii="宋体" w:hAnsi="宋体" w:eastAsia="宋体" w:cs="宋体"/>
                <w:color w:val="000000"/>
                <w:sz w:val="24"/>
                <w:szCs w:val="24"/>
                <w:highlight w:val="none"/>
                <w:lang w:val="en-US" w:eastAsia="en-US" w:bidi="ar-SA"/>
              </w:rPr>
              <w:t xml:space="preserve">，格式见本文件第七章《投标文件相关格式》</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二</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商务资信</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1.《投标函》</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加盖电子签章，格式见招标文件第七章《投标文件相关格式》</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2</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《授权委托书》</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加盖电子签章，格式见招标文件第七章《投标文件相关格式》</w:t>
            </w:r>
            <w:r>
              <w:rPr>
                <w:rFonts w:hint="eastAsia" w:ascii="宋体" w:hAnsi="宋体" w:eastAsia="宋体" w:cs="宋体"/>
                <w:color w:val="000000"/>
                <w:sz w:val="24"/>
                <w:szCs w:val="24"/>
                <w:highlight w:val="none"/>
                <w:lang w:val="en-US" w:eastAsia="zh-CN" w:bidi="ar-SA"/>
              </w:rPr>
              <w:t xml:space="preserve">）；</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三</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技术响应</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SA"/>
              </w:rPr>
              <w:t xml:space="preserve">《偏离表》</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加盖电子签章，格式见招标文件第七章《投标文件相关格式》</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四</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投标人认为需提供的编制文件所需的其他材料</w:t>
            </w:r>
            <w:r>
              <w:rPr>
                <w:rFonts w:hint="eastAsia" w:ascii="宋体" w:hAnsi="宋体" w:eastAsia="宋体" w:cs="宋体"/>
                <w:color w:val="000000"/>
                <w:sz w:val="24"/>
                <w:szCs w:val="24"/>
                <w:highlight w:val="none"/>
                <w:lang w:val="en-US" w:eastAsia="zh-CN" w:bidi="ar-SA"/>
              </w:rPr>
              <w:t xml:space="preserve">（如有）。</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b/>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en-US" w:bidi="ar-SA"/>
              </w:rPr>
              <w:t xml:space="preserve">四、综合评审评分项</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一</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技术部分</w:t>
            </w:r>
            <w:r/>
          </w:p>
          <w:p>
            <w:pPr>
              <w:pStyle w:val="809"/>
              <w:spacing w:before="0" w:beforeAutospacing="0" w:after="120" w:afterAutospacing="0" w:line="276"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要求见招标文件第六章《采购需求》及第四章《评标标准》中《评分细则》。</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二</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商务部分</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要求见招标文件第四章《评标标准》中《评分细则》。</w:t>
            </w:r>
            <w:r/>
          </w:p>
          <w:p>
            <w:pPr>
              <w:numPr>
                <w:ilvl w:val="0"/>
                <w:numId w:val="3"/>
              </w:numPr>
              <w:ind w:left="0" w:right="0" w:firstLine="0"/>
              <w:jc w:val="both"/>
              <w:keepLines w:val="0"/>
              <w:keepNext w:val="0"/>
              <w:pageBreakBefore w:val="0"/>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en-US" w:bidi="ar-SA"/>
              </w:rPr>
              <w:t xml:space="preserve">报价折扣证明</w:t>
            </w:r>
            <w:r>
              <w:rPr>
                <w:rFonts w:hint="eastAsia" w:ascii="宋体" w:hAnsi="宋体" w:eastAsia="宋体" w:cs="宋体"/>
                <w:b/>
                <w:bCs/>
                <w:color w:val="000000"/>
                <w:sz w:val="24"/>
                <w:szCs w:val="24"/>
                <w:highlight w:val="none"/>
                <w:lang w:val="en-US" w:eastAsia="zh-CN" w:bidi="ar-SA"/>
              </w:rPr>
              <w:t xml:space="preserve">：</w:t>
            </w:r>
            <w:r/>
          </w:p>
          <w:p>
            <w:pPr>
              <w:numPr>
                <w:ilvl w:val="0"/>
                <w:numId w:val="0"/>
              </w:numPr>
              <w:ind w:right="0"/>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本国产品报价折扣证明：提供的货物由符合政策要求的本国企业制造，提供《关于符合本国产品标准的声明函》（填写完整，加盖电子签章，格式见招标文件第七章《投标文件相关格式》。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numPr>
                <w:ilvl w:val="0"/>
                <w:numId w:val="0"/>
              </w:numPr>
              <w:ind w:right="0"/>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具体以《国务院办公厅关于在政府采购中实施本国产品标准及相关政策的通知》（国办发〔2025〕34号）规定为准。</w:t>
            </w:r>
            <w:r/>
          </w:p>
          <w:p>
            <w:pPr>
              <w:numPr>
                <w:ilvl w:val="0"/>
                <w:numId w:val="0"/>
              </w:numPr>
              <w:ind w:right="0"/>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备注：</w:t>
            </w:r>
            <w:r/>
          </w:p>
          <w:p>
            <w:pPr>
              <w:numPr>
                <w:ilvl w:val="0"/>
                <w:numId w:val="0"/>
              </w:numPr>
              <w:ind w:right="0"/>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①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right="0"/>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right="0"/>
              <w:jc w:val="both"/>
              <w:keepLines w:val="0"/>
              <w:keepNext w:val="0"/>
              <w:pageBreakBefore w:val="0"/>
              <w:spacing w:before="0" w:beforeAutospacing="0" w:after="0" w:afterAutospacing="0" w:line="360" w:lineRule="auto"/>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说明</w:t>
            </w:r>
            <w:r>
              <w:rPr>
                <w:rFonts w:hint="eastAsia" w:ascii="宋体" w:hAnsi="宋体" w:eastAsia="宋体" w:cs="宋体"/>
                <w:b w:val="0"/>
                <w:bCs w:val="0"/>
                <w:color w:val="000000"/>
                <w:sz w:val="24"/>
                <w:szCs w:val="24"/>
                <w:highlight w:val="none"/>
                <w:lang w:val="en-US" w:eastAsia="zh-CN" w:bidi="ar-SA"/>
              </w:rPr>
              <w:t xml:space="preserve">：本项目不接受进口产品投标。</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六</w:t>
            </w:r>
            <w:r>
              <w:rPr>
                <w:rFonts w:hint="eastAsia" w:ascii="宋体" w:hAnsi="宋体" w:eastAsia="宋体" w:cs="宋体"/>
                <w:b/>
                <w:bCs/>
                <w:color w:val="000000"/>
                <w:sz w:val="24"/>
                <w:szCs w:val="24"/>
                <w:highlight w:val="none"/>
                <w:lang w:val="en-US" w:eastAsia="en-US" w:bidi="ar-SA"/>
              </w:rPr>
              <w:t xml:space="preserve">、其他部分</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en-US" w:bidi="ar-SA"/>
              </w:rPr>
              <w:t xml:space="preserve">格式见本文件第七章《投标文件相关格式》</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注：</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1、投标人应对以上文件的合法性、真实性负责。</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3、线下纸质投标文件：中标人领取中标通知书时须向代理机构提交纸质胶装投标文件一正</w:t>
            </w:r>
            <w:r>
              <w:rPr>
                <w:rFonts w:hint="eastAsia" w:ascii="宋体" w:hAnsi="宋体" w:eastAsia="宋体" w:cs="宋体"/>
                <w:color w:val="000000"/>
                <w:sz w:val="24"/>
                <w:szCs w:val="24"/>
                <w:highlight w:val="none"/>
                <w:lang w:val="en-US" w:eastAsia="zh-CN" w:bidi="ar-SA"/>
              </w:rPr>
              <w:t xml:space="preserve">二</w:t>
            </w:r>
            <w:r>
              <w:rPr>
                <w:rFonts w:hint="eastAsia" w:ascii="宋体" w:hAnsi="宋体" w:eastAsia="宋体" w:cs="宋体"/>
                <w:color w:val="000000"/>
                <w:sz w:val="24"/>
                <w:szCs w:val="24"/>
                <w:highlight w:val="none"/>
                <w:lang w:val="en-US" w:eastAsia="en-US" w:bidi="ar-SA"/>
              </w:rPr>
              <w:t xml:space="preserve">副，后期招标人如有需要中标人仍需免费提供。</w:t>
            </w:r>
            <w:r/>
          </w:p>
        </w:tc>
      </w:tr>
      <w:tr>
        <w:trPr>
          <w:jc w:val="center"/>
          <w:trHeight w:val="1007"/>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三</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商务条件见：</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一、本文件第四章《评标标准》中《评分细则》。</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二、本文件第三章《投标资料表》中</w:t>
            </w:r>
            <w:r>
              <w:rPr>
                <w:rFonts w:hint="eastAsia" w:ascii="宋体" w:hAnsi="宋体" w:eastAsia="宋体" w:cs="宋体"/>
                <w:b w:val="0"/>
                <w:bCs w:val="0"/>
                <w:color w:val="000000"/>
                <w:sz w:val="24"/>
                <w:szCs w:val="24"/>
                <w:highlight w:val="none"/>
                <w:lang w:val="en-US" w:eastAsia="en-US" w:bidi="ar-SA"/>
              </w:rPr>
              <w:t xml:space="preserve">投标文件编制要求</w:t>
            </w:r>
            <w:r>
              <w:rPr>
                <w:rFonts w:hint="eastAsia" w:ascii="宋体" w:hAnsi="宋体" w:eastAsia="宋体" w:cs="宋体"/>
                <w:color w:val="000000"/>
                <w:sz w:val="24"/>
                <w:szCs w:val="24"/>
                <w:highlight w:val="none"/>
                <w:lang w:val="en-US" w:eastAsia="en-US" w:bidi="ar-SA"/>
              </w:rPr>
              <w:t xml:space="preserve">。</w:t>
            </w:r>
            <w:r/>
          </w:p>
        </w:tc>
      </w:tr>
      <w:tr>
        <w:trPr>
          <w:jc w:val="center"/>
          <w:trHeight w:val="969"/>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四</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交货和提供服务的时间：见本文件第五章 《拟签订的合同文本》</w:t>
            </w:r>
            <w:r>
              <w:rPr>
                <w:rFonts w:hint="eastAsia" w:ascii="宋体" w:hAnsi="宋体" w:eastAsia="宋体" w:cs="宋体"/>
                <w:color w:val="000000"/>
                <w:sz w:val="24"/>
                <w:szCs w:val="24"/>
                <w:highlight w:val="none"/>
                <w:lang w:val="en-US" w:eastAsia="zh-CN" w:bidi="ar-SA"/>
              </w:rPr>
              <w:t xml:space="preserve">及</w:t>
            </w:r>
            <w:r>
              <w:rPr>
                <w:rFonts w:hint="eastAsia" w:ascii="宋体" w:hAnsi="宋体" w:eastAsia="宋体" w:cs="宋体"/>
                <w:color w:val="000000"/>
                <w:sz w:val="24"/>
                <w:szCs w:val="24"/>
                <w:highlight w:val="none"/>
                <w:lang w:val="en-US" w:eastAsia="en-US" w:bidi="ar-SA"/>
              </w:rPr>
              <w:t xml:space="preserve">本文件第六章《采购需求》。</w:t>
            </w:r>
            <w:r/>
          </w:p>
        </w:tc>
      </w:tr>
      <w:tr>
        <w:trPr>
          <w:jc w:val="center"/>
          <w:trHeight w:val="1112"/>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五</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Arial" w:hAnsi="Arial" w:eastAsia="Arial" w:cs="Arial"/>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en-US" w:bidi="ar-SA"/>
              </w:rPr>
              <w:t xml:space="preserve">本项目不接受超过人民</w:t>
            </w:r>
            <w:r>
              <w:rPr>
                <w:rFonts w:hint="eastAsia" w:ascii="宋体" w:hAnsi="宋体" w:eastAsia="宋体" w:cs="宋体"/>
                <w:b w:val="0"/>
                <w:bCs w:val="0"/>
                <w:color w:val="000000"/>
                <w:sz w:val="22"/>
                <w:szCs w:val="22"/>
                <w:highlight w:val="none"/>
                <w:lang w:val="en-US" w:eastAsia="en-US" w:bidi="ar-SA"/>
              </w:rPr>
              <w:t xml:space="preserve">币</w:t>
            </w:r>
            <w:r>
              <w:rPr>
                <w:rFonts w:hint="eastAsia" w:ascii="宋体" w:hAnsi="宋体" w:eastAsia="宋体" w:cs="宋体"/>
                <w:b/>
                <w:bCs/>
                <w:color w:val="000000"/>
                <w:sz w:val="22"/>
                <w:szCs w:val="22"/>
                <w:highlight w:val="none"/>
                <w:u w:val="single"/>
                <w:lang w:val="en-US" w:eastAsia="zh-CN" w:bidi="ar-SA"/>
              </w:rPr>
              <w:t xml:space="preserve"> 94.94 </w:t>
            </w:r>
            <w:r>
              <w:rPr>
                <w:rFonts w:hint="eastAsia" w:ascii="宋体" w:hAnsi="宋体" w:eastAsia="宋体" w:cs="宋体"/>
                <w:b/>
                <w:bCs/>
                <w:color w:val="000000"/>
                <w:sz w:val="22"/>
                <w:szCs w:val="22"/>
                <w:highlight w:val="none"/>
                <w:lang w:val="en-US" w:eastAsia="en-US" w:bidi="ar-SA"/>
              </w:rPr>
              <w:t xml:space="preserve">万元</w:t>
            </w:r>
            <w:r>
              <w:rPr>
                <w:rFonts w:hint="eastAsia" w:ascii="宋体" w:hAnsi="宋体" w:eastAsia="宋体" w:cs="宋体"/>
                <w:b w:val="0"/>
                <w:bCs w:val="0"/>
                <w:color w:val="000000"/>
                <w:sz w:val="22"/>
                <w:szCs w:val="22"/>
                <w:highlight w:val="none"/>
                <w:lang w:val="en-US" w:eastAsia="en-US" w:bidi="ar-SA"/>
              </w:rPr>
              <w:t xml:space="preserve">（项目预</w:t>
            </w:r>
            <w:r>
              <w:rPr>
                <w:rFonts w:hint="eastAsia" w:ascii="宋体" w:hAnsi="宋体" w:eastAsia="宋体" w:cs="宋体"/>
                <w:color w:val="000000"/>
                <w:sz w:val="22"/>
                <w:szCs w:val="22"/>
                <w:highlight w:val="none"/>
                <w:lang w:val="en-US" w:eastAsia="en-US" w:bidi="ar-SA"/>
              </w:rPr>
              <w:t xml:space="preserve">算）的投标报价。报价包括全部费用，采购人不再支付报价以外的任何费用。</w:t>
            </w:r>
            <w:r/>
          </w:p>
        </w:tc>
      </w:tr>
      <w:tr>
        <w:trPr>
          <w:jc w:val="center"/>
          <w:trHeight w:val="561"/>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六</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投标货币：以人民币报价。</w:t>
            </w:r>
            <w:r/>
          </w:p>
        </w:tc>
      </w:tr>
      <w:tr>
        <w:trPr>
          <w:jc w:val="center"/>
          <w:trHeight w:val="555"/>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七</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线上要求：</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投标人应当通过“苏采云”系统提交数据电文形式的投标文件</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即电子投标</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特别说明：通过“苏采云”系统提交政府采购客户端工具导出加密的投标文件</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后缀名为zip</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。投标文件不得超过</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SA"/>
              </w:rPr>
              <w:t xml:space="preserve">50M！</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说明：本项目采用线上投标，即供应商投标文件从政府采购客户端工具制作通过“苏采云”系统提交，未提供线上投标文件的，投标无效。</w:t>
            </w:r>
            <w:r/>
          </w:p>
        </w:tc>
      </w:tr>
      <w:tr>
        <w:trPr>
          <w:jc w:val="center"/>
          <w:trHeight w:val="2541"/>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（八）</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投标文件的提交：</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US" w:eastAsia="en-US" w:bidi="ar-SA"/>
              </w:rPr>
              <w:t xml:space="preserve">投标文件</w:t>
            </w:r>
            <w:r>
              <w:rPr>
                <w:rFonts w:hint="eastAsia" w:ascii="宋体" w:hAnsi="宋体" w:eastAsia="宋体" w:cs="宋体"/>
                <w:color w:val="000000"/>
                <w:sz w:val="24"/>
                <w:szCs w:val="24"/>
                <w:highlight w:val="none"/>
                <w:lang w:val="en-US" w:eastAsia="zh-CN" w:bidi="ar-SA"/>
              </w:rPr>
              <w:t xml:space="preserve">提交</w:t>
            </w:r>
            <w:r>
              <w:rPr>
                <w:rFonts w:hint="eastAsia" w:ascii="宋体" w:hAnsi="宋体" w:eastAsia="宋体" w:cs="宋体"/>
                <w:color w:val="000000"/>
                <w:sz w:val="24"/>
                <w:szCs w:val="24"/>
                <w:highlight w:val="none"/>
                <w:lang w:val="en-US" w:eastAsia="en-US" w:bidi="ar-SA"/>
              </w:rPr>
              <w:t xml:space="preserve">时间：</w:t>
            </w:r>
            <w:r>
              <w:rPr>
                <w:rFonts w:hint="eastAsia" w:ascii="宋体" w:hAnsi="宋体" w:eastAsia="宋体" w:cs="宋体"/>
                <w:b/>
                <w:bCs/>
                <w:color w:val="000000"/>
                <w:sz w:val="24"/>
                <w:szCs w:val="24"/>
                <w:highlight w:val="none"/>
                <w:lang w:val="en-US" w:eastAsia="zh-CN" w:bidi="ar-SA"/>
              </w:rPr>
              <w:t xml:space="preserve">2026年2月26日</w:t>
            </w:r>
            <w:r>
              <w:rPr>
                <w:rFonts w:hint="eastAsia" w:ascii="宋体" w:hAnsi="宋体" w:eastAsia="宋体" w:cs="宋体"/>
                <w:b/>
                <w:bCs/>
                <w:color w:val="000000"/>
                <w:sz w:val="24"/>
                <w:szCs w:val="24"/>
                <w:highlight w:val="none"/>
                <w:lang w:val="en-US" w:eastAsia="en-US" w:bidi="ar-SA"/>
              </w:rPr>
              <w:t xml:space="preserve">北京时间</w:t>
            </w:r>
            <w:r>
              <w:rPr>
                <w:rFonts w:hint="eastAsia" w:ascii="宋体" w:hAnsi="宋体" w:eastAsia="宋体" w:cs="宋体"/>
                <w:b/>
                <w:bCs/>
                <w:color w:val="000000"/>
                <w:sz w:val="24"/>
                <w:szCs w:val="24"/>
                <w:highlight w:val="none"/>
                <w:lang w:val="en-US" w:eastAsia="zh-CN" w:bidi="ar-SA"/>
              </w:rPr>
              <w:t xml:space="preserve">09:3</w:t>
            </w:r>
            <w:r>
              <w:rPr>
                <w:rFonts w:hint="eastAsia" w:ascii="宋体" w:hAnsi="宋体" w:eastAsia="宋体" w:cs="宋体"/>
                <w:b/>
                <w:bCs/>
                <w:color w:val="000000"/>
                <w:sz w:val="24"/>
                <w:szCs w:val="24"/>
                <w:highlight w:val="none"/>
                <w:lang w:val="en-US" w:eastAsia="en-US" w:bidi="ar-SA"/>
              </w:rPr>
              <w:t xml:space="preserve">0</w:t>
            </w:r>
            <w:r>
              <w:rPr>
                <w:rFonts w:hint="eastAsia" w:ascii="宋体" w:hAnsi="宋体" w:eastAsia="宋体" w:cs="宋体"/>
                <w:color w:val="000000"/>
                <w:sz w:val="24"/>
                <w:szCs w:val="24"/>
                <w:highlight w:val="none"/>
                <w:lang w:val="en-US" w:eastAsia="en-US" w:bidi="ar-SA"/>
              </w:rPr>
              <w:t xml:space="preserve">前。</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二、</w:t>
            </w:r>
            <w:r>
              <w:rPr>
                <w:rFonts w:hint="eastAsia" w:ascii="宋体" w:hAnsi="宋体" w:eastAsia="宋体" w:cs="宋体"/>
                <w:color w:val="000000"/>
                <w:sz w:val="24"/>
                <w:szCs w:val="24"/>
                <w:highlight w:val="none"/>
                <w:lang w:val="en-US" w:eastAsia="en-US" w:bidi="ar-SA"/>
              </w:rPr>
              <w:t xml:space="preserve">投标截止时间：</w:t>
            </w:r>
            <w:r>
              <w:rPr>
                <w:rFonts w:hint="eastAsia" w:ascii="宋体" w:hAnsi="宋体" w:eastAsia="宋体" w:cs="宋体"/>
                <w:b/>
                <w:bCs/>
                <w:color w:val="000000"/>
                <w:sz w:val="24"/>
                <w:szCs w:val="24"/>
                <w:highlight w:val="none"/>
                <w:lang w:val="en-US" w:eastAsia="zh-CN" w:bidi="ar-SA"/>
              </w:rPr>
              <w:t xml:space="preserve">2026年2月26日</w:t>
            </w:r>
            <w:r>
              <w:rPr>
                <w:rFonts w:hint="eastAsia" w:ascii="宋体" w:hAnsi="宋体" w:eastAsia="宋体" w:cs="宋体"/>
                <w:b/>
                <w:bCs/>
                <w:color w:val="000000"/>
                <w:sz w:val="24"/>
                <w:szCs w:val="24"/>
                <w:highlight w:val="none"/>
                <w:lang w:val="en-US" w:eastAsia="en-US" w:bidi="ar-SA"/>
              </w:rPr>
              <w:t xml:space="preserve">北京时间</w:t>
            </w:r>
            <w:r>
              <w:rPr>
                <w:rFonts w:hint="eastAsia" w:ascii="宋体" w:hAnsi="宋体" w:eastAsia="宋体" w:cs="宋体"/>
                <w:b/>
                <w:bCs/>
                <w:color w:val="000000"/>
                <w:sz w:val="24"/>
                <w:szCs w:val="24"/>
                <w:highlight w:val="none"/>
                <w:lang w:val="en-US" w:eastAsia="zh-CN" w:bidi="ar-SA"/>
              </w:rPr>
              <w:t xml:space="preserve">09:3</w:t>
            </w:r>
            <w:r>
              <w:rPr>
                <w:rFonts w:hint="eastAsia" w:ascii="宋体" w:hAnsi="宋体" w:eastAsia="宋体" w:cs="宋体"/>
                <w:b/>
                <w:bCs/>
                <w:color w:val="000000"/>
                <w:sz w:val="24"/>
                <w:szCs w:val="24"/>
                <w:highlight w:val="none"/>
                <w:lang w:val="en-US" w:eastAsia="en-US" w:bidi="ar-SA"/>
              </w:rPr>
              <w:t xml:space="preserve">0</w:t>
            </w:r>
            <w:r>
              <w:rPr>
                <w:rFonts w:hint="eastAsia" w:ascii="宋体" w:hAnsi="宋体" w:eastAsia="宋体" w:cs="宋体"/>
                <w:color w:val="000000"/>
                <w:sz w:val="24"/>
                <w:szCs w:val="24"/>
                <w:highlight w:val="none"/>
                <w:lang w:val="en-US" w:eastAsia="en-US" w:bidi="ar-SA"/>
              </w:rPr>
              <w:t xml:space="preserve">。</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三、投标文件提交地点：投标人应当通过“苏采云”系统提交数据电文形式的投标文件（即电子投标），“苏采云”系统自动接收。</w:t>
            </w:r>
            <w:r/>
          </w:p>
        </w:tc>
      </w:tr>
      <w:tr>
        <w:trPr>
          <w:jc w:val="center"/>
          <w:trHeight w:val="1073"/>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（九）</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电子投标文件应由其法定代表人或法定代表人授权代表在规定的网上投标时间内，凭 CA 证书登陆“苏采云”系统在线编制投标文件（电子数据），并在投标截止时间之前上传投标文件。</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投标人应在达到开标时间后，使用CA数字证书解密各自投标文件。</w:t>
            </w:r>
            <w:r/>
          </w:p>
        </w:tc>
      </w:tr>
      <w:tr>
        <w:trPr>
          <w:jc w:val="center"/>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四</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开标</w:t>
            </w:r>
            <w:r/>
          </w:p>
        </w:tc>
      </w:tr>
      <w:tr>
        <w:trPr>
          <w:jc w:val="center"/>
          <w:trHeight w:val="1877"/>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一</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一、开标时间：</w:t>
            </w:r>
            <w:r>
              <w:rPr>
                <w:rFonts w:hint="eastAsia" w:ascii="宋体" w:hAnsi="宋体" w:eastAsia="宋体" w:cs="宋体"/>
                <w:b/>
                <w:bCs/>
                <w:color w:val="000000"/>
                <w:sz w:val="24"/>
                <w:szCs w:val="24"/>
                <w:highlight w:val="none"/>
                <w:lang w:val="en-US" w:eastAsia="zh-CN" w:bidi="ar-SA"/>
              </w:rPr>
              <w:t xml:space="preserve">2026年2月26日</w:t>
            </w:r>
            <w:r>
              <w:rPr>
                <w:rFonts w:hint="eastAsia" w:ascii="宋体" w:hAnsi="宋体" w:eastAsia="宋体" w:cs="宋体"/>
                <w:b/>
                <w:bCs/>
                <w:color w:val="000000"/>
                <w:sz w:val="24"/>
                <w:szCs w:val="24"/>
                <w:highlight w:val="none"/>
                <w:lang w:val="en-US" w:eastAsia="en-US" w:bidi="ar-SA"/>
              </w:rPr>
              <w:t xml:space="preserve">北京时间</w:t>
            </w:r>
            <w:r>
              <w:rPr>
                <w:rFonts w:hint="eastAsia" w:ascii="宋体" w:hAnsi="宋体" w:eastAsia="宋体" w:cs="宋体"/>
                <w:b/>
                <w:bCs/>
                <w:color w:val="000000"/>
                <w:sz w:val="24"/>
                <w:szCs w:val="24"/>
                <w:highlight w:val="none"/>
                <w:lang w:val="en-US" w:eastAsia="zh-CN" w:bidi="ar-SA"/>
              </w:rPr>
              <w:t xml:space="preserve">09:30</w:t>
            </w:r>
            <w:r>
              <w:rPr>
                <w:rFonts w:hint="eastAsia" w:ascii="宋体" w:hAnsi="宋体" w:eastAsia="宋体" w:cs="宋体"/>
                <w:color w:val="000000"/>
                <w:sz w:val="24"/>
                <w:szCs w:val="24"/>
                <w:highlight w:val="none"/>
                <w:lang w:val="en-US" w:eastAsia="en-US" w:bidi="ar-SA"/>
              </w:rPr>
              <w:t xml:space="preserve">。</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二、开标地点：</w:t>
            </w:r>
            <w:r>
              <w:rPr>
                <w:rFonts w:hint="eastAsia" w:ascii="宋体" w:hAnsi="宋体" w:eastAsia="宋体" w:cs="宋体"/>
                <w:color w:val="000000"/>
                <w:sz w:val="24"/>
                <w:szCs w:val="24"/>
                <w:highlight w:val="none"/>
                <w:lang w:val="en-US" w:eastAsia="zh-CN" w:bidi="ar-SA"/>
              </w:rPr>
              <w:t xml:space="preserve">“苏采云”系统（网址：http://jszfcg.jsczt.cn/）“开标大厅”或进入徐州政府采购网（网址：http://czj.xz.gov.cn/Home/HomeIndex）－－业务工作－－用户登录，点击“苏采云”进入系统“开标大厅”。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二</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pStyle w:val="859"/>
              <w:jc w:val="both"/>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线上开标时，“苏采云”系统自动提取所有投标文件，投标人按招标文件规定方式按时在线解密。本项目招标文件规定的投标人按时在线解密方式：开标时间后30分钟内，通过“苏采云”系统</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使用“CA数字证书”</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解密。</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所有投标人解密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或解密时间</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结束后，“苏采云”系统生成开标记录并向社会公众公布，但依法应当保密的除外。</w:t>
            </w:r>
            <w:r/>
          </w:p>
        </w:tc>
      </w:tr>
      <w:tr>
        <w:trPr>
          <w:jc w:val="center"/>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五</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评标</w:t>
            </w:r>
            <w:r/>
          </w:p>
        </w:tc>
      </w:tr>
      <w:tr>
        <w:trPr>
          <w:jc w:val="center"/>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一</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采用综合评分法。</w:t>
            </w:r>
            <w:r/>
          </w:p>
        </w:tc>
      </w:tr>
      <w:tr>
        <w:trPr>
          <w:jc w:val="center"/>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二</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一、推荐中标候选供应商名单。中标候选供应商数量应当根据采购需要确定，但必须按顺序排列中标候选供应商。</w:t>
            </w:r>
            <w:r/>
          </w:p>
          <w:p>
            <w:pPr>
              <w:ind w:left="0" w:right="0" w:firstLine="0"/>
              <w:jc w:val="both"/>
              <w:keepLines w:val="0"/>
              <w:keepNext w:val="0"/>
              <w:pageBreakBefore w:val="0"/>
              <w:spacing w:before="0" w:beforeAutospacing="0" w:after="0" w:afterAutospacing="0" w:line="360" w:lineRule="auto"/>
              <w:rPr>
                <w:rFonts w:hint="eastAsia" w:ascii="Arial" w:hAnsi="Arial" w:eastAsia="Arial" w:cs="Arial"/>
                <w:color w:val="000000"/>
                <w:sz w:val="22"/>
                <w:szCs w:val="22"/>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二、采用综合评分法的，按评审后得分由高到低顺序排列。得分相同的，按投标报价由低到高顺序排列。得分且投标报价相同的，</w:t>
            </w:r>
            <w:r>
              <w:rPr>
                <w:rFonts w:hint="eastAsia" w:ascii="宋体" w:hAnsi="宋体" w:eastAsia="宋体" w:cs="宋体"/>
                <w:color w:val="000000"/>
                <w:sz w:val="24"/>
                <w:szCs w:val="22"/>
                <w:highlight w:val="none"/>
                <w:lang w:val="en-US" w:eastAsia="en-US" w:bidi="ar-SA"/>
              </w:rPr>
              <w:t xml:space="preserve">按项目</w:t>
            </w:r>
            <w:r>
              <w:rPr>
                <w:rFonts w:hint="eastAsia" w:ascii="宋体" w:hAnsi="宋体" w:eastAsia="宋体" w:cs="宋体"/>
                <w:color w:val="000000"/>
                <w:sz w:val="24"/>
                <w:szCs w:val="24"/>
                <w:highlight w:val="none"/>
                <w:lang w:val="en-US" w:eastAsia="en-US" w:bidi="ar-SA"/>
              </w:rPr>
              <w:t xml:space="preserve">供货</w:t>
            </w:r>
            <w:r>
              <w:rPr>
                <w:rFonts w:hint="eastAsia" w:ascii="宋体" w:hAnsi="宋体" w:eastAsia="宋体" w:cs="宋体"/>
                <w:color w:val="000000"/>
                <w:sz w:val="24"/>
                <w:szCs w:val="24"/>
                <w:highlight w:val="none"/>
                <w:lang w:val="en-US" w:eastAsia="zh-CN" w:bidi="ar-SA"/>
              </w:rPr>
              <w:t xml:space="preserve">实施</w:t>
            </w:r>
            <w:r>
              <w:rPr>
                <w:rFonts w:hint="eastAsia" w:ascii="宋体" w:hAnsi="宋体" w:eastAsia="宋体" w:cs="宋体"/>
                <w:color w:val="000000"/>
                <w:sz w:val="24"/>
                <w:szCs w:val="24"/>
                <w:highlight w:val="none"/>
                <w:lang w:val="en-US" w:eastAsia="en-US" w:bidi="ar-SA"/>
              </w:rPr>
              <w:t xml:space="preserve">方案</w:t>
            </w:r>
            <w:r>
              <w:rPr>
                <w:rFonts w:hint="eastAsia" w:ascii="宋体" w:hAnsi="宋体" w:eastAsia="宋体" w:cs="宋体"/>
                <w:color w:val="000000"/>
                <w:sz w:val="24"/>
                <w:szCs w:val="24"/>
                <w:highlight w:val="none"/>
                <w:lang w:val="en-US" w:eastAsia="zh-CN" w:bidi="ar-SA"/>
              </w:rPr>
              <w:t xml:space="preserve">优劣</w:t>
            </w:r>
            <w:r>
              <w:rPr>
                <w:rFonts w:hint="eastAsia" w:ascii="宋体" w:hAnsi="宋体" w:eastAsia="宋体" w:cs="宋体"/>
                <w:color w:val="000000"/>
                <w:sz w:val="24"/>
                <w:szCs w:val="22"/>
                <w:highlight w:val="none"/>
                <w:lang w:val="en-US" w:eastAsia="en-US" w:bidi="ar-SA"/>
              </w:rPr>
              <w:t xml:space="preserve">顺序排列</w:t>
            </w:r>
            <w:r>
              <w:rPr>
                <w:rFonts w:hint="eastAsia" w:ascii="宋体" w:hAnsi="宋体" w:eastAsia="宋体" w:cs="宋体"/>
                <w:color w:val="000000"/>
                <w:sz w:val="24"/>
                <w:szCs w:val="24"/>
                <w:highlight w:val="none"/>
                <w:lang w:val="en-US" w:eastAsia="en-US" w:bidi="ar-SA"/>
              </w:rPr>
              <w:t xml:space="preserve">。</w:t>
            </w:r>
            <w:r/>
          </w:p>
        </w:tc>
      </w:tr>
      <w:tr>
        <w:trPr>
          <w:jc w:val="center"/>
          <w:trHeight w:val="328"/>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r>
            <w:r/>
          </w:p>
        </w:tc>
        <w:tc>
          <w:tcPr>
            <w:tcMar>
              <w:left w:w="108" w:type="dxa"/>
              <w:top w:w="0" w:type="dxa"/>
              <w:right w:w="108" w:type="dxa"/>
              <w:bottom w:w="0" w:type="dxa"/>
            </w:tcMar>
            <w:tcW w:w="8510" w:type="dxa"/>
            <w:vAlign w:val="center"/>
            <w:textDirection w:val="lrTb"/>
            <w:noWrap w:val="false"/>
          </w:tcPr>
          <w:p>
            <w:pPr>
              <w:pStyle w:val="859"/>
              <w:jc w:val="both"/>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1.评标中需要投标人对投标文件澄清或者说明的，应当通过“苏采云”系统交换数据电文。在评标期间，请投标人保持在线。</w:t>
            </w:r>
            <w:r/>
          </w:p>
          <w:p>
            <w:pPr>
              <w:pStyle w:val="859"/>
              <w:jc w:val="both"/>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2.对于投标文件中含义不明确、同类问题表述不一致或者有明显文字和计算错误的内容，评标委员会通过“苏采云”系统要求投标人作出必要的澄清、说明或者补正，并规定回复时间。</w:t>
            </w:r>
            <w:r/>
          </w:p>
          <w:p>
            <w:pPr>
              <w:pStyle w:val="859"/>
              <w:jc w:val="both"/>
              <w:spacing w:after="0"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3.投标人的澄清、说明或者补正应当采用通过“苏采云”系统</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使用“CA数字证书”</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加盖电子签章</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形式。投标人没有在规定的回复时间内作出必要的澄清、说明或者补正，评标委员会将认为投标人拒绝作出必要的澄清、说明或者补正，并承担相应的后果和法律责任。</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三</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投标人的样品与投标文件中同类问题表述不一致的，评标委员会不以书面形式要求投标人作出必要的澄清、说明或者补正，评标委</w:t>
            </w:r>
            <w:r>
              <w:rPr>
                <w:rFonts w:hint="eastAsia" w:ascii="宋体" w:hAnsi="宋体" w:eastAsia="宋体" w:cs="宋体"/>
                <w:color w:val="000000"/>
                <w:sz w:val="24"/>
                <w:szCs w:val="24"/>
                <w:highlight w:val="none"/>
                <w:lang w:val="en-US" w:eastAsia="zh-CN" w:bidi="ar-SA"/>
              </w:rPr>
              <w:t xml:space="preserve">员会</w:t>
            </w:r>
            <w:r>
              <w:rPr>
                <w:rFonts w:hint="eastAsia" w:ascii="宋体" w:hAnsi="宋体" w:eastAsia="宋体" w:cs="宋体"/>
                <w:color w:val="000000"/>
                <w:sz w:val="24"/>
                <w:szCs w:val="24"/>
                <w:highlight w:val="none"/>
                <w:lang w:val="en-US" w:eastAsia="en-US" w:bidi="ar-SA"/>
              </w:rPr>
              <w:t xml:space="preserve">分别对其进行比较与评价，分别评分</w:t>
            </w:r>
            <w:r>
              <w:rPr>
                <w:rFonts w:hint="eastAsia" w:ascii="宋体" w:hAnsi="宋体" w:eastAsia="宋体" w:cs="宋体"/>
                <w:color w:val="000000"/>
                <w:sz w:val="24"/>
                <w:szCs w:val="24"/>
                <w:highlight w:val="none"/>
                <w:lang w:val="en-US" w:eastAsia="zh-CN" w:bidi="ar-SA"/>
              </w:rPr>
              <w:t xml:space="preserve">，特别说明的除外。</w:t>
            </w:r>
            <w:r/>
          </w:p>
        </w:tc>
      </w:tr>
      <w:tr>
        <w:trPr>
          <w:jc w:val="center"/>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六</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政府采购合同</w:t>
            </w:r>
            <w:r/>
          </w:p>
        </w:tc>
      </w:tr>
      <w:tr>
        <w:trPr>
          <w:jc w:val="center"/>
          <w:trHeight w:val="90"/>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一</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二</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b/>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en-US" w:bidi="ar-SA"/>
              </w:rPr>
              <w:t xml:space="preserve">履约保证金：合同金额的10%，</w:t>
            </w:r>
            <w:r>
              <w:rPr>
                <w:rFonts w:hint="eastAsia" w:ascii="宋体" w:hAnsi="宋体" w:eastAsia="宋体" w:cs="宋体"/>
                <w:b/>
                <w:bCs/>
                <w:color w:val="000000"/>
                <w:sz w:val="24"/>
                <w:szCs w:val="24"/>
                <w:highlight w:val="none"/>
                <w:lang w:val="en-US" w:eastAsia="zh-CN" w:bidi="ar-SA"/>
              </w:rPr>
              <w:t xml:space="preserve">签订合同前提交，</w:t>
            </w:r>
            <w:r>
              <w:rPr>
                <w:rFonts w:hint="eastAsia" w:ascii="宋体" w:hAnsi="宋体" w:eastAsia="宋体" w:cs="宋体"/>
                <w:b/>
                <w:bCs/>
                <w:color w:val="000000"/>
                <w:sz w:val="24"/>
                <w:szCs w:val="24"/>
                <w:highlight w:val="none"/>
                <w:lang w:val="en-US" w:eastAsia="en-US" w:bidi="ar-SA"/>
              </w:rPr>
              <w:t xml:space="preserve">以支票、汇票、本票或者金融机构、担保机构出具的保函等非现金形式缴纳。</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en-US" w:bidi="ar-SA"/>
              </w:rPr>
              <w:t xml:space="preserve">履约保证金退还的方式、时间、条件和不予退还的情形：详见合同条款。</w:t>
            </w:r>
            <w:r/>
          </w:p>
        </w:tc>
      </w:tr>
      <w:tr>
        <w:trPr>
          <w:jc w:val="center"/>
        </w:trPr>
        <w:tc>
          <w:tcPr>
            <w:tcMar>
              <w:left w:w="108" w:type="dxa"/>
              <w:top w:w="0" w:type="dxa"/>
              <w:right w:w="108" w:type="dxa"/>
              <w:bottom w:w="0" w:type="dxa"/>
            </w:tcMar>
            <w:tcW w:w="1182" w:type="dxa"/>
            <w:vAlign w:val="center"/>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三</w:t>
            </w:r>
            <w:r>
              <w:rPr>
                <w:rFonts w:hint="eastAsia" w:ascii="宋体" w:hAnsi="宋体" w:eastAsia="宋体" w:cs="宋体"/>
                <w:color w:val="000000"/>
                <w:sz w:val="24"/>
                <w:szCs w:val="24"/>
                <w:highlight w:val="none"/>
                <w:lang w:val="en-US" w:eastAsia="zh-CN" w:bidi="ar-SA"/>
              </w:rPr>
              <w:t xml:space="preserve">）</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供应商在法定质疑期内一次性提出针对同一采购程序环节的质疑。</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质疑接收人：</w:t>
            </w:r>
            <w:r>
              <w:rPr>
                <w:rFonts w:hint="eastAsia" w:ascii="宋体" w:hAnsi="宋体" w:eastAsia="宋体" w:cs="宋体"/>
                <w:color w:val="000000"/>
                <w:sz w:val="24"/>
                <w:szCs w:val="24"/>
                <w:highlight w:val="none"/>
                <w:lang w:val="en-US" w:eastAsia="zh-CN" w:bidi="ar-SA"/>
              </w:rPr>
              <w:t xml:space="preserve">永明项目管理有限公司 ；</w:t>
            </w:r>
            <w:r>
              <w:rPr>
                <w:rFonts w:hint="eastAsia" w:ascii="宋体" w:hAnsi="宋体" w:eastAsia="宋体" w:cs="宋体"/>
                <w:color w:val="000000"/>
                <w:sz w:val="24"/>
                <w:szCs w:val="24"/>
                <w:highlight w:val="none"/>
                <w:lang w:val="en-US" w:eastAsia="en-US" w:bidi="ar-SA"/>
              </w:rPr>
              <w:t xml:space="preserve">联系电话：</w:t>
            </w:r>
            <w:r>
              <w:rPr>
                <w:rFonts w:hint="eastAsia" w:ascii="宋体" w:hAnsi="宋体" w:eastAsia="宋体" w:cs="宋体"/>
                <w:color w:val="000000"/>
                <w:sz w:val="24"/>
                <w:szCs w:val="24"/>
                <w:highlight w:val="none"/>
                <w:lang w:val="en-US" w:eastAsia="zh-CN" w:bidi="ar-SA"/>
              </w:rPr>
              <w:t xml:space="preserve">0516-83333882；</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办公地址：</w:t>
            </w:r>
            <w:r>
              <w:rPr>
                <w:rFonts w:hint="eastAsia" w:ascii="宋体" w:hAnsi="宋体" w:eastAsia="宋体" w:cs="宋体"/>
                <w:color w:val="000000"/>
                <w:sz w:val="24"/>
                <w:szCs w:val="24"/>
                <w:highlight w:val="none"/>
                <w:lang w:val="en-US" w:eastAsia="zh-CN" w:bidi="ar-SA"/>
              </w:rPr>
              <w:t xml:space="preserve">江苏省徐州市云龙区绿地商务城蓝海officeA座21楼</w:t>
            </w:r>
            <w:r/>
          </w:p>
        </w:tc>
      </w:tr>
      <w:tr>
        <w:trPr>
          <w:jc w:val="center"/>
        </w:trPr>
        <w:tc>
          <w:tcPr>
            <w:tcMar>
              <w:left w:w="108" w:type="dxa"/>
              <w:top w:w="0" w:type="dxa"/>
              <w:right w:w="108" w:type="dxa"/>
              <w:bottom w:w="0" w:type="dxa"/>
            </w:tcMar>
            <w:tcW w:w="1182" w:type="dxa"/>
            <w:vAlign w:val="center"/>
            <w:vMerge w:val="restart"/>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附加说明</w:t>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中标人在收到中标通知书时，须向采购代理机构提交投标文件的纸质标书3套，纸质标书的内容和苏采云上的电子投标文件内容一致。</w:t>
            </w:r>
            <w:r/>
          </w:p>
        </w:tc>
      </w:tr>
      <w:tr>
        <w:trPr>
          <w:jc w:val="center"/>
        </w:trPr>
        <w:tc>
          <w:tcPr>
            <w:tcMar>
              <w:left w:w="108" w:type="dxa"/>
              <w:top w:w="0" w:type="dxa"/>
              <w:right w:w="108" w:type="dxa"/>
              <w:bottom w:w="0" w:type="dxa"/>
            </w:tcMar>
            <w:tcW w:w="118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r>
            <w:r/>
          </w:p>
        </w:tc>
        <w:tc>
          <w:tcPr>
            <w:tcMar>
              <w:left w:w="108" w:type="dxa"/>
              <w:top w:w="0" w:type="dxa"/>
              <w:right w:w="108" w:type="dxa"/>
              <w:bottom w:w="0" w:type="dxa"/>
            </w:tcMar>
            <w:tcW w:w="8510" w:type="dxa"/>
            <w:vAlign w:val="center"/>
            <w:textDirection w:val="lrTb"/>
            <w:noWrap w:val="false"/>
          </w:tcPr>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1、评标中需要投标人对投标文件澄清或者说明的，应当通过“苏采云”系统交换数据电文。在评标期间，请投标人保持在线。</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left="0" w:right="0" w:firstLine="0"/>
        <w:jc w:val="center"/>
        <w:keepLines w:val="0"/>
        <w:keepNext w:val="0"/>
        <w:pageBreakBefore w:val="0"/>
        <w:spacing w:before="0" w:beforeAutospacing="0" w:after="0" w:afterAutospacing="0"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br w:type="page" w:clear="all"/>
      </w:r>
      <w:r>
        <w:rPr>
          <w:rFonts w:hint="eastAsia" w:ascii="宋体" w:hAnsi="宋体" w:cs="宋体"/>
          <w:color w:val="000000"/>
          <w:sz w:val="30"/>
          <w:szCs w:val="30"/>
          <w:highlight w:val="none"/>
        </w:rPr>
        <w:t xml:space="preserve">本章附件：</w:t>
      </w:r>
      <w:r>
        <w:rPr>
          <w:rFonts w:hint="eastAsia" w:ascii="宋体" w:hAnsi="宋体" w:cs="宋体"/>
          <w:b/>
          <w:bCs/>
          <w:color w:val="000000"/>
          <w:sz w:val="30"/>
          <w:szCs w:val="30"/>
          <w:highlight w:val="none"/>
        </w:rPr>
        <w:t xml:space="preserve">代理服务收费标准</w:t>
      </w:r>
      <w:r/>
    </w:p>
    <w:tbl>
      <w:tblPr>
        <w:tblStyle w:val="779"/>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0"/>
        <w:gridCol w:w="3190"/>
      </w:tblGrid>
      <w:tr>
        <w:trPr>
          <w:jc w:val="center"/>
          <w:trHeight w:val="379"/>
        </w:trPr>
        <w:tc>
          <w:tcPr>
            <w:tcW w:w="5383"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中标金额</w:t>
            </w:r>
            <w:r/>
          </w:p>
        </w:tc>
        <w:tc>
          <w:tcPr>
            <w:tcW w:w="2916"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费率</w:t>
            </w:r>
            <w:r/>
          </w:p>
        </w:tc>
      </w:tr>
      <w:tr>
        <w:trPr>
          <w:jc w:val="center"/>
          <w:trHeight w:val="379"/>
        </w:trPr>
        <w:tc>
          <w:tcPr>
            <w:tcW w:w="5383"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最低收费金额（每个委托项目）</w:t>
            </w:r>
            <w:r/>
          </w:p>
        </w:tc>
        <w:tc>
          <w:tcPr>
            <w:tcW w:w="2916"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5000元</w:t>
            </w:r>
            <w:r/>
          </w:p>
        </w:tc>
      </w:tr>
      <w:tr>
        <w:trPr>
          <w:jc w:val="center"/>
          <w:trHeight w:val="379"/>
        </w:trPr>
        <w:tc>
          <w:tcPr>
            <w:tcW w:w="5383"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50万元以下（含50万元）</w:t>
            </w:r>
            <w:r/>
          </w:p>
        </w:tc>
        <w:tc>
          <w:tcPr>
            <w:tcW w:w="2916"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1.6%</w:t>
            </w:r>
            <w:r/>
          </w:p>
        </w:tc>
      </w:tr>
      <w:tr>
        <w:trPr>
          <w:jc w:val="center"/>
          <w:trHeight w:val="379"/>
        </w:trPr>
        <w:tc>
          <w:tcPr>
            <w:tcW w:w="5383"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50-400万元（含400万元）</w:t>
            </w:r>
            <w:r/>
          </w:p>
        </w:tc>
        <w:tc>
          <w:tcPr>
            <w:tcW w:w="2916"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1.5%</w:t>
            </w:r>
            <w:r/>
          </w:p>
        </w:tc>
      </w:tr>
      <w:tr>
        <w:trPr>
          <w:jc w:val="center"/>
          <w:trHeight w:val="379"/>
        </w:trPr>
        <w:tc>
          <w:tcPr>
            <w:tcW w:w="5383"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400-1000万元（含1000万元）</w:t>
            </w:r>
            <w:r/>
          </w:p>
        </w:tc>
        <w:tc>
          <w:tcPr>
            <w:tcW w:w="2916"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1.1%</w:t>
            </w:r>
            <w:r/>
          </w:p>
        </w:tc>
      </w:tr>
      <w:tr>
        <w:trPr>
          <w:jc w:val="center"/>
          <w:trHeight w:val="379"/>
        </w:trPr>
        <w:tc>
          <w:tcPr>
            <w:tcW w:w="5383"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1000-5000万元（含5000万元）</w:t>
            </w:r>
            <w:r/>
          </w:p>
        </w:tc>
        <w:tc>
          <w:tcPr>
            <w:tcW w:w="2916"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0.8%</w:t>
            </w:r>
            <w:r/>
          </w:p>
        </w:tc>
      </w:tr>
      <w:tr>
        <w:trPr>
          <w:jc w:val="center"/>
          <w:trHeight w:val="379"/>
        </w:trPr>
        <w:tc>
          <w:tcPr>
            <w:tcW w:w="5383"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5000-1亿元（含1亿元）</w:t>
            </w:r>
            <w:r/>
          </w:p>
        </w:tc>
        <w:tc>
          <w:tcPr>
            <w:tcW w:w="2916"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0.25%</w:t>
            </w:r>
            <w:r/>
          </w:p>
        </w:tc>
      </w:tr>
      <w:tr>
        <w:trPr>
          <w:jc w:val="center"/>
          <w:trHeight w:val="379"/>
        </w:trPr>
        <w:tc>
          <w:tcPr>
            <w:tcW w:w="5383"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1-10亿元（含10亿元）</w:t>
            </w:r>
            <w:r/>
          </w:p>
        </w:tc>
        <w:tc>
          <w:tcPr>
            <w:tcW w:w="2916"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0.05%</w:t>
            </w:r>
            <w:r/>
          </w:p>
        </w:tc>
      </w:tr>
      <w:tr>
        <w:trPr>
          <w:jc w:val="center"/>
          <w:trHeight w:val="379"/>
        </w:trPr>
        <w:tc>
          <w:tcPr>
            <w:tcW w:w="5383"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10-50亿元（含50亿元）</w:t>
            </w:r>
            <w:r/>
          </w:p>
        </w:tc>
        <w:tc>
          <w:tcPr>
            <w:tcW w:w="2916"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0.01%</w:t>
            </w:r>
            <w:r/>
          </w:p>
        </w:tc>
      </w:tr>
      <w:tr>
        <w:trPr>
          <w:jc w:val="center"/>
          <w:trHeight w:val="390"/>
        </w:trPr>
        <w:tc>
          <w:tcPr>
            <w:tcW w:w="5383"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50亿元以上</w:t>
            </w:r>
            <w:r/>
          </w:p>
        </w:tc>
        <w:tc>
          <w:tcPr>
            <w:tcW w:w="2916" w:type="dxa"/>
            <w:vAlign w:val="center"/>
            <w:textDirection w:val="lrTb"/>
            <w:noWrap w:val="false"/>
          </w:tcPr>
          <w:p>
            <w:pPr>
              <w:jc w:val="center"/>
              <w:spacing w:before="0" w:beforeAutospacing="0" w:after="200" w:afterAutospacing="0" w:line="276" w:lineRule="auto"/>
              <w:rPr>
                <w:rFonts w:ascii="宋体" w:hAnsi="宋体" w:eastAsia="Arial" w:cs="宋体"/>
                <w:color w:val="000000"/>
                <w:sz w:val="22"/>
                <w:szCs w:val="21"/>
                <w:highlight w:val="none"/>
                <w:lang w:val="en-US" w:eastAsia="en-US" w:bidi="ar-SA"/>
              </w:rPr>
            </w:pPr>
            <w:r>
              <w:rPr>
                <w:rFonts w:hint="eastAsia" w:ascii="宋体" w:hAnsi="宋体" w:eastAsia="Arial" w:cs="宋体"/>
                <w:color w:val="000000"/>
                <w:sz w:val="22"/>
                <w:szCs w:val="21"/>
                <w:highlight w:val="none"/>
                <w:lang w:val="en-US" w:eastAsia="en-US" w:bidi="ar-SA"/>
              </w:rPr>
              <w:t xml:space="preserve">0.005%</w:t>
            </w:r>
            <w:r/>
          </w:p>
        </w:tc>
      </w:tr>
    </w:tbl>
    <w:p>
      <w:pPr>
        <w:ind w:firstLine="480"/>
        <w:jc w:val="left"/>
        <w:spacing w:before="0" w:beforeAutospacing="0" w:after="0" w:afterAutospacing="0"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说明：</w:t>
      </w:r>
      <w:r/>
    </w:p>
    <w:p>
      <w:pPr>
        <w:ind w:firstLine="480"/>
        <w:jc w:val="left"/>
        <w:spacing w:before="0" w:beforeAutospacing="0" w:after="0" w:afterAutospacing="0"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1、按上表计算的收费为代理服务全过程的收费金额。各社会代理机构不再收取采购文件制作售卖费用。</w:t>
      </w:r>
      <w:r/>
    </w:p>
    <w:p>
      <w:pPr>
        <w:ind w:firstLine="480"/>
        <w:jc w:val="left"/>
        <w:spacing w:before="0" w:beforeAutospacing="0" w:after="0" w:afterAutospacing="0"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2、代理服务费按差额定率累进法计算。</w:t>
      </w:r>
      <w:r/>
    </w:p>
    <w:p>
      <w:pPr>
        <w:ind w:firstLine="480"/>
        <w:jc w:val="left"/>
        <w:spacing w:before="0" w:beforeAutospacing="0" w:after="0" w:afterAutospacing="0"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3、代理服务费基准金额（按差额定率累进法计算的）=中标金额（按差额定率累进法计算的）*费率（%）</w:t>
      </w:r>
      <w:r/>
    </w:p>
    <w:p>
      <w:pPr>
        <w:ind w:firstLine="480"/>
        <w:jc w:val="left"/>
        <w:spacing w:before="0" w:beforeAutospacing="0" w:after="0" w:afterAutospacing="0"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4、代理服务费应收取金额=代理服务费基准金额（按差额定率累进法计算的）的合计数。</w:t>
      </w:r>
      <w:r/>
    </w:p>
    <w:p>
      <w:pPr>
        <w:ind w:firstLine="480"/>
        <w:jc w:val="left"/>
        <w:spacing w:before="0" w:beforeAutospacing="0" w:after="0" w:afterAutospacing="0"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5、定点类等无金额或事先不能计算出价格总额的项目，按中标（成交）金额100万元计算服务费。</w:t>
      </w:r>
      <w:r/>
    </w:p>
    <w:p>
      <w:pPr>
        <w:ind w:firstLine="480"/>
        <w:jc w:val="left"/>
        <w:spacing w:before="0" w:beforeAutospacing="0" w:after="0" w:afterAutospacing="0"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6.有分包(分标段)的按一个项目计算。</w:t>
      </w:r>
      <w:r/>
    </w:p>
    <w:p>
      <w:pPr>
        <w:ind w:firstLine="480"/>
        <w:jc w:val="left"/>
        <w:spacing w:before="0" w:beforeAutospacing="0" w:after="0" w:afterAutospacing="0"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7.以上价格为协会指导价，双方可根据项目难易程度和优质优价原则协商确定。</w:t>
      </w:r>
      <w:r/>
    </w:p>
    <w:p>
      <w:pPr>
        <w:numPr>
          <w:ilvl w:val="0"/>
          <w:numId w:val="4"/>
        </w:numPr>
        <w:ind w:right="0"/>
        <w:jc w:val="center"/>
        <w:keepLines w:val="0"/>
        <w:keepNext w:val="0"/>
        <w:pageBreakBefore w:val="0"/>
        <w:spacing w:before="0" w:beforeAutospacing="0" w:after="0" w:afterAutospacing="0" w:line="360" w:lineRule="auto"/>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highlight w:val="none"/>
        </w:rPr>
        <w:br w:type="page" w:clear="all"/>
      </w:r>
      <w:r>
        <w:rPr>
          <w:rFonts w:hint="eastAsia" w:ascii="宋体" w:hAnsi="宋体" w:eastAsia="宋体" w:cs="宋体"/>
          <w:b/>
          <w:color w:val="000000"/>
          <w:sz w:val="30"/>
          <w:highlight w:val="none"/>
        </w:rPr>
        <w:t xml:space="preserve">评标标准</w:t>
      </w:r>
      <w:r/>
    </w:p>
    <w:tbl>
      <w:tblPr>
        <w:tblStyle w:val="837"/>
        <w:tblW w:w="9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7859"/>
      </w:tblGrid>
      <w:tr>
        <w:trPr>
          <w:jc w:val="center"/>
          <w:trHeight w:val="23"/>
        </w:trPr>
        <w:tc>
          <w:tcPr>
            <w:tcW w:w="160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en-US" w:bidi="ar-SA"/>
              </w:rPr>
              <w:t xml:space="preserve">评审因素</w:t>
            </w:r>
            <w:r/>
          </w:p>
        </w:tc>
        <w:tc>
          <w:tcPr>
            <w:tcW w:w="7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bCs/>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en-US" w:bidi="ar-SA"/>
              </w:rPr>
              <w:t xml:space="preserve">评审因素细化和量化</w:t>
            </w:r>
            <w:r/>
          </w:p>
        </w:tc>
      </w:tr>
      <w:tr>
        <w:trPr>
          <w:jc w:val="center"/>
          <w:trHeight w:val="23"/>
        </w:trPr>
        <w:tc>
          <w:tcPr>
            <w:tcW w:w="160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价格</w:t>
            </w:r>
            <w:r/>
          </w:p>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en-US" w:bidi="ar-SA"/>
              </w:rPr>
              <w:t xml:space="preserve">分</w:t>
            </w:r>
            <w:r>
              <w:rPr>
                <w:rFonts w:hint="eastAsia" w:ascii="宋体" w:hAnsi="宋体" w:eastAsia="宋体" w:cs="宋体"/>
                <w:color w:val="000000"/>
                <w:sz w:val="24"/>
                <w:szCs w:val="24"/>
                <w:highlight w:val="none"/>
                <w:lang w:val="en-US" w:eastAsia="zh-CN" w:bidi="ar-SA"/>
              </w:rPr>
              <w:t xml:space="preserve">）</w:t>
            </w:r>
            <w:r/>
          </w:p>
        </w:tc>
        <w:tc>
          <w:tcPr>
            <w:tcW w:w="7859"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采用低价优先法计算，即满足招标文件要求且投标人评审价格最低的投标报价为评标基准价，其价格得分为满分：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各投标人价格得分=最低报价（投标人的最低评审价格）÷各投标人评审价格×</w:t>
            </w:r>
            <w:r>
              <w:rPr>
                <w:rFonts w:hint="eastAsia" w:ascii="宋体" w:hAnsi="宋体" w:eastAsia="宋体" w:cs="宋体"/>
                <w:color w:val="000000"/>
                <w:sz w:val="24"/>
                <w:szCs w:val="24"/>
                <w:highlight w:val="none"/>
                <w:lang w:val="en-US" w:eastAsia="zh-CN" w:bidi="ar-SA"/>
              </w:rPr>
              <w:t xml:space="preserve">35</w:t>
            </w:r>
            <w:r>
              <w:rPr>
                <w:rFonts w:hint="eastAsia" w:ascii="宋体" w:hAnsi="宋体" w:eastAsia="宋体" w:cs="宋体"/>
                <w:color w:val="000000"/>
                <w:sz w:val="24"/>
                <w:szCs w:val="24"/>
                <w:highlight w:val="none"/>
                <w:lang w:val="en-US" w:eastAsia="en-US" w:bidi="ar-SA"/>
              </w:rPr>
              <w:t xml:space="preserve">。</w:t>
            </w:r>
            <w:r/>
          </w:p>
          <w:p>
            <w:pPr>
              <w:ind w:left="0" w:right="0" w:firstLine="48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促进本国产品优惠政策：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以《国务院办公厅关于在政府采购中实施本国产品标准及相关政策的通知》（国办发〔2025〕34号）规定为准。</w:t>
            </w:r>
            <w:r/>
          </w:p>
          <w:p>
            <w:pPr>
              <w:ind w:left="0" w:right="0" w:firstLine="480"/>
              <w:jc w:val="both"/>
              <w:keepLines w:val="0"/>
              <w:keepNext w:val="0"/>
              <w:pageBreakBefore w:val="0"/>
              <w:spacing w:before="0" w:beforeAutospacing="0" w:after="0" w:afterAutospacing="0" w:line="312" w:lineRule="auto"/>
              <w:widowControl/>
              <w:rPr>
                <w:rFonts w:hint="eastAsia"/>
                <w:lang w:val="en-US"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得分四舍五入保留小数点后2位。</w:t>
            </w:r>
            <w:r/>
          </w:p>
        </w:tc>
      </w:tr>
      <w:tr>
        <w:trPr>
          <w:jc w:val="center"/>
          <w:trHeight w:val="23"/>
        </w:trPr>
        <w:tc>
          <w:tcPr>
            <w:tcW w:w="160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业绩</w:t>
            </w:r>
            <w:r/>
          </w:p>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en-US" w:bidi="ar-SA"/>
              </w:rPr>
              <w:t xml:space="preserve">分</w:t>
            </w:r>
            <w:r>
              <w:rPr>
                <w:rFonts w:hint="eastAsia" w:ascii="宋体" w:hAnsi="宋体" w:eastAsia="宋体" w:cs="宋体"/>
                <w:color w:val="000000"/>
                <w:sz w:val="24"/>
                <w:szCs w:val="24"/>
                <w:highlight w:val="none"/>
                <w:lang w:val="en-US" w:eastAsia="zh-CN" w:bidi="ar-SA"/>
              </w:rPr>
              <w:t xml:space="preserve">）</w:t>
            </w:r>
            <w:r/>
          </w:p>
        </w:tc>
        <w:tc>
          <w:tcPr>
            <w:tcW w:w="7859"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投标文件中提供投标人自202</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en-US" w:bidi="ar-SA"/>
              </w:rPr>
              <w:t xml:space="preserve">年</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SA"/>
              </w:rPr>
              <w:t xml:space="preserve">月1日以来（时间以合同签订时间为准）的</w:t>
            </w:r>
            <w:r>
              <w:rPr>
                <w:rFonts w:hint="eastAsia" w:ascii="宋体" w:hAnsi="宋体" w:eastAsia="宋体" w:cs="宋体"/>
                <w:color w:val="000000"/>
                <w:sz w:val="24"/>
                <w:szCs w:val="24"/>
                <w:highlight w:val="none"/>
                <w:lang w:val="en-US" w:eastAsia="zh-CN" w:bidi="ar-SA"/>
              </w:rPr>
              <w:t xml:space="preserve">类似</w:t>
            </w:r>
            <w:r>
              <w:rPr>
                <w:rFonts w:hint="eastAsia" w:ascii="宋体" w:hAnsi="宋体" w:eastAsia="宋体" w:cs="宋体"/>
                <w:color w:val="000000"/>
                <w:sz w:val="24"/>
                <w:szCs w:val="24"/>
                <w:highlight w:val="none"/>
                <w:lang w:val="en-US" w:eastAsia="en-US" w:bidi="ar-SA"/>
              </w:rPr>
              <w:t xml:space="preserve">项目</w:t>
            </w:r>
            <w:r>
              <w:rPr>
                <w:rFonts w:hint="eastAsia" w:ascii="宋体" w:hAnsi="宋体" w:eastAsia="宋体" w:cs="宋体"/>
                <w:color w:val="000000"/>
                <w:sz w:val="24"/>
                <w:szCs w:val="24"/>
                <w:highlight w:val="none"/>
                <w:lang w:val="en-US" w:eastAsia="zh-CN" w:bidi="ar-SA"/>
              </w:rPr>
              <w:t xml:space="preserve">业绩</w:t>
            </w:r>
            <w:r>
              <w:rPr>
                <w:rFonts w:hint="eastAsia" w:ascii="宋体" w:hAnsi="宋体" w:eastAsia="宋体" w:cs="宋体"/>
                <w:color w:val="000000"/>
                <w:sz w:val="24"/>
                <w:szCs w:val="24"/>
                <w:highlight w:val="none"/>
                <w:lang w:val="en-US" w:eastAsia="en-US" w:bidi="ar-SA"/>
              </w:rPr>
              <w:t xml:space="preserve">，每项得</w:t>
            </w: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en-US" w:bidi="ar-SA"/>
              </w:rPr>
              <w:t xml:space="preserve">分，最高得4分。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注：投标文件中同时提供</w:t>
            </w:r>
            <w:r>
              <w:rPr>
                <w:rFonts w:hint="eastAsia" w:ascii="宋体" w:hAnsi="宋体" w:eastAsia="宋体" w:cs="宋体"/>
                <w:b/>
                <w:bCs/>
                <w:color w:val="000000"/>
                <w:sz w:val="24"/>
                <w:szCs w:val="24"/>
                <w:highlight w:val="none"/>
                <w:lang w:val="en-US" w:eastAsia="en-US" w:bidi="ar-SA"/>
              </w:rPr>
              <w:t xml:space="preserve">中标（成交）通知书原件扫描件</w:t>
            </w:r>
            <w:r>
              <w:rPr>
                <w:rFonts w:hint="eastAsia" w:ascii="宋体" w:hAnsi="宋体" w:eastAsia="宋体" w:cs="宋体"/>
                <w:color w:val="000000"/>
                <w:sz w:val="24"/>
                <w:szCs w:val="24"/>
                <w:highlight w:val="none"/>
                <w:lang w:val="en-US" w:eastAsia="en-US" w:bidi="ar-SA"/>
              </w:rPr>
              <w:t xml:space="preserve">、</w:t>
            </w:r>
            <w:r>
              <w:rPr>
                <w:rFonts w:hint="eastAsia" w:ascii="宋体" w:hAnsi="宋体" w:eastAsia="宋体" w:cs="宋体"/>
                <w:b/>
                <w:bCs/>
                <w:color w:val="000000"/>
                <w:sz w:val="24"/>
                <w:szCs w:val="24"/>
                <w:highlight w:val="none"/>
                <w:lang w:val="en-US" w:eastAsia="en-US" w:bidi="ar-SA"/>
              </w:rPr>
              <w:t xml:space="preserve">合同原件扫描件原件扫描件</w:t>
            </w:r>
            <w:r>
              <w:rPr>
                <w:rFonts w:hint="eastAsia" w:ascii="宋体" w:hAnsi="宋体" w:eastAsia="宋体" w:cs="宋体"/>
                <w:color w:val="000000"/>
                <w:sz w:val="24"/>
                <w:szCs w:val="24"/>
                <w:highlight w:val="none"/>
                <w:lang w:val="en-US" w:eastAsia="en-US" w:bidi="ar-SA"/>
              </w:rPr>
              <w:t xml:space="preserve">并加盖电子签章，业绩合同中主要内容、总金额等清晰可见，缺一或提供内容模糊不清的不得分。</w:t>
            </w:r>
            <w:r/>
          </w:p>
        </w:tc>
      </w:tr>
      <w:tr>
        <w:trPr>
          <w:jc w:val="center"/>
          <w:trHeight w:val="23"/>
        </w:trPr>
        <w:tc>
          <w:tcPr>
            <w:tcW w:w="160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质保方案</w:t>
            </w:r>
            <w:r/>
          </w:p>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en-US" w:bidi="ar-SA"/>
              </w:rPr>
              <w:t xml:space="preserve">分</w:t>
            </w:r>
            <w:r>
              <w:rPr>
                <w:rFonts w:hint="eastAsia" w:ascii="宋体" w:hAnsi="宋体" w:eastAsia="宋体" w:cs="宋体"/>
                <w:color w:val="000000"/>
                <w:sz w:val="24"/>
                <w:szCs w:val="24"/>
                <w:highlight w:val="none"/>
                <w:lang w:val="en-US" w:eastAsia="zh-CN" w:bidi="ar-SA"/>
              </w:rPr>
              <w:t xml:space="preserve">）</w:t>
            </w:r>
            <w:r/>
          </w:p>
        </w:tc>
        <w:tc>
          <w:tcPr>
            <w:tcW w:w="7859"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免费质量保修期比招标文件要求的期限每增加一年得</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SA"/>
              </w:rPr>
              <w:t xml:space="preserve">分，最高得</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en-US" w:bidi="ar-SA"/>
              </w:rPr>
              <w:t xml:space="preserve">分。</w:t>
            </w:r>
            <w:r>
              <w:rPr>
                <w:rFonts w:hint="eastAsia" w:ascii="宋体" w:hAnsi="宋体" w:eastAsia="宋体" w:cs="宋体"/>
                <w:b/>
                <w:bCs/>
                <w:color w:val="000000"/>
                <w:sz w:val="24"/>
                <w:szCs w:val="24"/>
                <w:highlight w:val="none"/>
                <w:lang w:val="en-US" w:eastAsia="en-US" w:bidi="ar-SA"/>
              </w:rPr>
              <w:t xml:space="preserve">（投标人须提供承诺函扫描件并加盖公章，格式自拟）</w:t>
            </w:r>
            <w:r/>
          </w:p>
        </w:tc>
      </w:tr>
      <w:tr>
        <w:trPr>
          <w:jc w:val="center"/>
          <w:trHeight w:val="23"/>
        </w:trPr>
        <w:tc>
          <w:tcPr>
            <w:tcW w:w="160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供货</w:t>
            </w:r>
            <w:r>
              <w:rPr>
                <w:rFonts w:hint="eastAsia" w:ascii="宋体" w:hAnsi="宋体" w:eastAsia="宋体" w:cs="宋体"/>
                <w:color w:val="000000"/>
                <w:sz w:val="24"/>
                <w:szCs w:val="24"/>
                <w:highlight w:val="none"/>
                <w:lang w:val="en-US" w:eastAsia="zh-CN" w:bidi="ar-SA"/>
              </w:rPr>
              <w:t xml:space="preserve">实施</w:t>
            </w:r>
            <w:r>
              <w:rPr>
                <w:rFonts w:hint="eastAsia" w:ascii="宋体" w:hAnsi="宋体" w:eastAsia="宋体" w:cs="宋体"/>
                <w:color w:val="000000"/>
                <w:sz w:val="24"/>
                <w:szCs w:val="24"/>
                <w:highlight w:val="none"/>
                <w:lang w:val="en-US" w:eastAsia="en-US" w:bidi="ar-SA"/>
              </w:rPr>
              <w:t xml:space="preserve">方案</w:t>
            </w:r>
            <w:r>
              <w:rPr>
                <w:rFonts w:hint="eastAsia" w:ascii="宋体" w:hAnsi="宋体" w:eastAsia="宋体" w:cs="宋体"/>
                <w:color w:val="000000"/>
                <w:sz w:val="24"/>
                <w:szCs w:val="24"/>
                <w:highlight w:val="none"/>
                <w:lang w:val="en-US" w:eastAsia="zh-CN" w:bidi="ar-SA"/>
              </w:rPr>
              <w:t xml:space="preserve">（18</w:t>
            </w:r>
            <w:r>
              <w:rPr>
                <w:rFonts w:hint="eastAsia" w:ascii="宋体" w:hAnsi="宋体" w:eastAsia="宋体" w:cs="宋体"/>
                <w:color w:val="000000"/>
                <w:sz w:val="24"/>
                <w:szCs w:val="24"/>
                <w:highlight w:val="none"/>
                <w:lang w:val="en-US" w:eastAsia="en-US" w:bidi="ar-SA"/>
              </w:rPr>
              <w:t xml:space="preserve">分</w:t>
            </w:r>
            <w:r>
              <w:rPr>
                <w:rFonts w:hint="eastAsia" w:ascii="宋体" w:hAnsi="宋体" w:eastAsia="宋体" w:cs="宋体"/>
                <w:color w:val="000000"/>
                <w:sz w:val="24"/>
                <w:szCs w:val="24"/>
                <w:highlight w:val="none"/>
                <w:lang w:val="en-US" w:eastAsia="zh-CN" w:bidi="ar-SA"/>
              </w:rPr>
              <w:t xml:space="preserve">）</w:t>
            </w:r>
            <w:r/>
          </w:p>
        </w:tc>
        <w:tc>
          <w:tcPr>
            <w:tcW w:w="7859"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对投标文件中供货方案</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en-US" w:bidi="ar-SA"/>
              </w:rPr>
              <w:t xml:space="preserve">包括采购措施、供货措施、</w:t>
            </w:r>
            <w:r>
              <w:rPr>
                <w:rFonts w:hint="eastAsia" w:ascii="宋体" w:hAnsi="宋体" w:eastAsia="宋体" w:cs="宋体"/>
                <w:color w:val="000000"/>
                <w:sz w:val="24"/>
                <w:szCs w:val="24"/>
                <w:highlight w:val="none"/>
                <w:lang w:val="en-US" w:eastAsia="zh-CN" w:bidi="ar-SA"/>
              </w:rPr>
              <w:t xml:space="preserve">安装措施、进度保障）等</w:t>
            </w:r>
            <w:r>
              <w:rPr>
                <w:rFonts w:hint="eastAsia" w:ascii="宋体" w:hAnsi="宋体" w:eastAsia="宋体" w:cs="宋体"/>
                <w:color w:val="000000"/>
                <w:sz w:val="24"/>
                <w:szCs w:val="24"/>
                <w:highlight w:val="none"/>
                <w:lang w:val="en-US" w:eastAsia="en-US" w:bidi="ar-SA"/>
              </w:rPr>
              <w:t xml:space="preserve">内</w:t>
            </w:r>
            <w:r>
              <w:rPr>
                <w:rFonts w:hint="eastAsia" w:ascii="宋体" w:hAnsi="宋体" w:eastAsia="宋体" w:cs="宋体"/>
                <w:color w:val="000000"/>
                <w:sz w:val="24"/>
                <w:szCs w:val="24"/>
                <w:highlight w:val="none"/>
                <w:lang w:val="en-US" w:eastAsia="zh-CN" w:bidi="ar-SA"/>
              </w:rPr>
              <w:t xml:space="preserve">容的</w:t>
            </w:r>
            <w:r>
              <w:rPr>
                <w:rFonts w:hint="eastAsia" w:ascii="宋体" w:hAnsi="宋体" w:eastAsia="宋体" w:cs="宋体"/>
                <w:color w:val="000000"/>
                <w:sz w:val="24"/>
                <w:szCs w:val="24"/>
                <w:highlight w:val="none"/>
                <w:lang w:val="en-US" w:eastAsia="en-US" w:bidi="ar-SA"/>
              </w:rPr>
              <w:t xml:space="preserve">完整性、可操作性、合理性进行综合评分</w:t>
            </w:r>
            <w:r>
              <w:rPr>
                <w:rFonts w:hint="eastAsia" w:ascii="宋体" w:hAnsi="宋体" w:eastAsia="宋体" w:cs="宋体"/>
                <w:color w:val="000000"/>
                <w:sz w:val="24"/>
                <w:szCs w:val="24"/>
                <w:highlight w:val="none"/>
                <w:lang w:val="en-US" w:eastAsia="zh-CN" w:bidi="ar-SA"/>
              </w:rPr>
              <w:t xml:space="preserve">：</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全面性（6分）：全面具体详实得6分；较全面详实得4分；全面性一般2分。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针对性（6分）：针对性强得6分；针对性较强得4分；针对性一般得2分。</w:t>
            </w:r>
            <w:r/>
          </w:p>
          <w:p>
            <w:pPr>
              <w:ind w:left="0" w:right="0" w:firstLine="0"/>
              <w:jc w:val="both"/>
              <w:keepLines w:val="0"/>
              <w:keepNext w:val="0"/>
              <w:pageBreakBefore w:val="0"/>
              <w:spacing w:before="0" w:beforeAutospacing="0" w:after="0" w:afterAutospacing="0" w:line="312" w:lineRule="auto"/>
              <w:widowControl/>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可行性（6分）：符合实际切实可行得6分；可行性较强得4分；可行性一般得2分。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未提供得0分，</w:t>
            </w:r>
            <w:r>
              <w:rPr>
                <w:rFonts w:hint="eastAsia" w:ascii="宋体" w:hAnsi="宋体" w:eastAsia="宋体" w:cs="宋体"/>
                <w:color w:val="000000"/>
                <w:sz w:val="24"/>
                <w:szCs w:val="24"/>
                <w:highlight w:val="none"/>
                <w:lang w:val="en-US" w:eastAsia="en-US" w:bidi="ar-SA"/>
              </w:rPr>
              <w:t xml:space="preserve">本项最高得</w:t>
            </w:r>
            <w:r>
              <w:rPr>
                <w:rFonts w:hint="eastAsia" w:ascii="宋体" w:hAnsi="宋体" w:eastAsia="宋体" w:cs="宋体"/>
                <w:color w:val="000000"/>
                <w:sz w:val="24"/>
                <w:szCs w:val="24"/>
                <w:highlight w:val="none"/>
                <w:lang w:val="en-US" w:eastAsia="zh-CN" w:bidi="ar-SA"/>
              </w:rPr>
              <w:t xml:space="preserve">18</w:t>
            </w:r>
            <w:r>
              <w:rPr>
                <w:rFonts w:hint="eastAsia" w:ascii="宋体" w:hAnsi="宋体" w:eastAsia="宋体" w:cs="宋体"/>
                <w:color w:val="000000"/>
                <w:sz w:val="24"/>
                <w:szCs w:val="24"/>
                <w:highlight w:val="none"/>
                <w:lang w:val="en-US" w:eastAsia="en-US" w:bidi="ar-SA"/>
              </w:rPr>
              <w:t xml:space="preserve">分，最低得0分。</w:t>
            </w:r>
            <w:r/>
          </w:p>
        </w:tc>
      </w:tr>
      <w:tr>
        <w:trPr>
          <w:jc w:val="center"/>
          <w:trHeight w:val="23"/>
        </w:trPr>
        <w:tc>
          <w:tcPr>
            <w:tcW w:w="160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质量保障措施（15分）</w:t>
            </w:r>
            <w:r/>
          </w:p>
        </w:tc>
        <w:tc>
          <w:tcPr>
            <w:tcW w:w="7859" w:type="dxa"/>
            <w:vAlign w:val="center"/>
            <w:textDirection w:val="lrTb"/>
            <w:noWrap w:val="false"/>
          </w:tcPr>
          <w:p>
            <w:pPr>
              <w:pStyle w:val="832"/>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依据投标文件中提供的质量保证措施（包含但不限于交付前质量保证措施、安装过程质量保证措施、交付后的质量保证措施、质量承诺等），从内容的全面性、针对性、可行性进行评价。</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全面性（5分）：全面具体详实得5分；较全面详实得3分；全面性一般得2分；不全面得1分。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针对性（5分）：针对性强得5分；针对性较强得3分；针对性一般得2分；针对性不强得1分。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可行性（5分）：符合实际切实可行得5分；可行性较强得3分；可行性一般得2分；可行性欠缺得1分；</w:t>
            </w:r>
            <w:r/>
          </w:p>
          <w:p>
            <w:pPr>
              <w:pStyle w:val="832"/>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未提供得0分，</w:t>
            </w:r>
            <w:r>
              <w:rPr>
                <w:rFonts w:hint="eastAsia" w:ascii="宋体" w:hAnsi="宋体" w:eastAsia="宋体" w:cs="宋体"/>
                <w:color w:val="000000"/>
                <w:sz w:val="24"/>
                <w:szCs w:val="24"/>
                <w:highlight w:val="none"/>
                <w:lang w:val="en-US" w:eastAsia="en-US" w:bidi="ar-SA"/>
              </w:rPr>
              <w:t xml:space="preserve">本项最高得</w:t>
            </w:r>
            <w:r>
              <w:rPr>
                <w:rFonts w:hint="eastAsia" w:eastAsia="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en-US" w:bidi="ar-SA"/>
              </w:rPr>
              <w:t xml:space="preserve">分，最低得0分。</w:t>
            </w:r>
            <w:r/>
          </w:p>
        </w:tc>
      </w:tr>
      <w:tr>
        <w:trPr>
          <w:jc w:val="center"/>
          <w:trHeight w:val="23"/>
        </w:trPr>
        <w:tc>
          <w:tcPr>
            <w:tcW w:w="160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安全保障措施（10分）</w:t>
            </w:r>
            <w:r/>
          </w:p>
        </w:tc>
        <w:tc>
          <w:tcPr>
            <w:tcW w:w="7859" w:type="dxa"/>
            <w:vAlign w:val="center"/>
            <w:textDirection w:val="lrTb"/>
            <w:noWrap w:val="false"/>
          </w:tcPr>
          <w:p>
            <w:pPr>
              <w:pStyle w:val="832"/>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依据投标文件中提供的安全保证措施（包含但不限于安装过程中实施人员安全、到场设备及现场施工、用电安全；交付后设备使用前安全保障，设备使用后出现的安全问题及应急事故处理等），从内容的全面性、针对性、可行性进行评价。</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全面性（4分）：全面具体详实得4分；较全面详实得3分；全面性一般得2分；不全面得1分。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针对性（3分）：针对性强得3分；针对性较强得2分；针对性一般得1分。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可行性（3分）：符合实际切实可行得3分；可行性较强得2分；可行性一般得1分。</w:t>
            </w:r>
            <w:r/>
          </w:p>
          <w:p>
            <w:pPr>
              <w:pStyle w:val="832"/>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未提供得0分，</w:t>
            </w:r>
            <w:r>
              <w:rPr>
                <w:rFonts w:hint="eastAsia" w:ascii="宋体" w:hAnsi="宋体" w:eastAsia="宋体" w:cs="宋体"/>
                <w:color w:val="000000"/>
                <w:sz w:val="24"/>
                <w:szCs w:val="24"/>
                <w:highlight w:val="none"/>
                <w:lang w:val="en-US" w:eastAsia="en-US" w:bidi="ar-SA"/>
              </w:rPr>
              <w:t xml:space="preserve">本项最高得</w:t>
            </w: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en-US" w:bidi="ar-SA"/>
              </w:rPr>
              <w:t xml:space="preserve">分，最低得0分。</w:t>
            </w:r>
            <w:r/>
          </w:p>
        </w:tc>
      </w:tr>
      <w:tr>
        <w:trPr>
          <w:jc w:val="center"/>
          <w:trHeight w:val="23"/>
        </w:trPr>
        <w:tc>
          <w:tcPr>
            <w:tcW w:w="160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售后服务</w:t>
            </w:r>
            <w:r>
              <w:rPr>
                <w:rFonts w:hint="eastAsia" w:ascii="宋体" w:hAnsi="宋体" w:eastAsia="宋体" w:cs="宋体"/>
                <w:color w:val="000000"/>
                <w:sz w:val="24"/>
                <w:szCs w:val="24"/>
                <w:highlight w:val="none"/>
                <w:lang w:val="en-US" w:eastAsia="zh-CN" w:bidi="ar-SA"/>
              </w:rPr>
              <w:t xml:space="preserve">及培训方案</w:t>
            </w:r>
            <w:r/>
          </w:p>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en-US" w:bidi="ar-SA"/>
              </w:rPr>
              <w:t xml:space="preserve">分</w:t>
            </w:r>
            <w:r>
              <w:rPr>
                <w:rFonts w:hint="eastAsia" w:ascii="宋体" w:hAnsi="宋体" w:eastAsia="宋体" w:cs="宋体"/>
                <w:color w:val="000000"/>
                <w:sz w:val="24"/>
                <w:szCs w:val="24"/>
                <w:highlight w:val="none"/>
                <w:lang w:val="en-US" w:eastAsia="zh-CN" w:bidi="ar-SA"/>
              </w:rPr>
              <w:t xml:space="preserve">）</w:t>
            </w:r>
            <w:r/>
          </w:p>
        </w:tc>
        <w:tc>
          <w:tcPr>
            <w:tcW w:w="7859"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Arial" w:cs="宋体"/>
                <w:color w:val="000000"/>
                <w:sz w:val="24"/>
                <w:szCs w:val="24"/>
                <w:highlight w:val="none"/>
                <w:lang w:val="en-US" w:eastAsia="zh-CN" w:bidi="ar-SA"/>
              </w:rPr>
              <w:t xml:space="preserve">根据投标人针对本项目提供的质保期内和质保期外的售后服务方案（包括但不限于售后服务内容、故障解决方案、服务响应时间、专业技术人员保障及服务电话、免费保养次数、质保期外维保服务方案及维保费用情况、易损件、零配件及重要消耗品的价格及器材的使用操作培训方案、安排有资格的专业人员对</w:t>
            </w:r>
            <w:r>
              <w:rPr>
                <w:rFonts w:hint="eastAsia" w:ascii="宋体" w:hAnsi="宋体" w:cs="宋体"/>
                <w:color w:val="000000"/>
                <w:sz w:val="24"/>
                <w:szCs w:val="24"/>
                <w:highlight w:val="none"/>
                <w:lang w:val="en-US" w:eastAsia="zh-CN" w:bidi="ar-SA"/>
              </w:rPr>
              <w:t xml:space="preserve">工作</w:t>
            </w:r>
            <w:r>
              <w:rPr>
                <w:rFonts w:hint="eastAsia" w:ascii="宋体" w:hAnsi="宋体" w:eastAsia="Arial" w:cs="宋体"/>
                <w:color w:val="000000"/>
                <w:sz w:val="24"/>
                <w:szCs w:val="24"/>
                <w:highlight w:val="none"/>
                <w:lang w:val="en-US" w:eastAsia="zh-CN" w:bidi="ar-SA"/>
              </w:rPr>
              <w:t xml:space="preserve">人员现场培训指导方案等）内容的全面性、针对性、可行性进行评价。</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全面性（</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en-US" w:bidi="ar-SA"/>
              </w:rPr>
              <w:t xml:space="preserve">分）：内容</w:t>
            </w:r>
            <w:r>
              <w:rPr>
                <w:rFonts w:hint="eastAsia" w:ascii="宋体" w:hAnsi="宋体" w:eastAsia="宋体" w:cs="宋体"/>
                <w:color w:val="000000"/>
                <w:sz w:val="24"/>
                <w:szCs w:val="24"/>
                <w:highlight w:val="none"/>
                <w:lang w:val="en-US" w:eastAsia="zh-CN" w:bidi="ar-SA"/>
              </w:rPr>
              <w:t xml:space="preserve">全面具体详实</w:t>
            </w:r>
            <w:r>
              <w:rPr>
                <w:rFonts w:hint="eastAsia" w:ascii="宋体" w:hAnsi="宋体" w:eastAsia="宋体" w:cs="宋体"/>
                <w:color w:val="000000"/>
                <w:sz w:val="24"/>
                <w:szCs w:val="24"/>
                <w:highlight w:val="none"/>
                <w:lang w:val="en-US" w:eastAsia="en-US" w:bidi="ar-SA"/>
              </w:rPr>
              <w:t xml:space="preserve">得</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en-US" w:bidi="ar-SA"/>
              </w:rPr>
              <w:t xml:space="preserve">分，内容全面性一般得</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en-US" w:bidi="ar-SA"/>
              </w:rPr>
              <w:t xml:space="preserve">分，内容不全面得1分。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合理性（</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en-US" w:bidi="ar-SA"/>
              </w:rPr>
              <w:t xml:space="preserve">分）：合理得</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en-US" w:bidi="ar-SA"/>
              </w:rPr>
              <w:t xml:space="preserve">分，合理性一般得</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en-US" w:bidi="ar-SA"/>
              </w:rPr>
              <w:t xml:space="preserve">分，不合理得</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SA"/>
              </w:rPr>
              <w:t xml:space="preserve">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en-US" w:bidi="ar-SA"/>
              </w:rPr>
              <w:t xml:space="preserve">针对性（</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en-US" w:bidi="ar-SA"/>
              </w:rPr>
              <w:t xml:space="preserve">分）：针对性强得</w:t>
            </w: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en-US" w:bidi="ar-SA"/>
              </w:rPr>
              <w:t xml:space="preserve">分；针对性一般得</w:t>
            </w: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en-US" w:bidi="ar-SA"/>
              </w:rPr>
              <w:t xml:space="preserve">分，针对性不强得</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en-US" w:bidi="ar-SA"/>
              </w:rPr>
              <w:t xml:space="preserve">分。</w:t>
            </w:r>
            <w:r/>
          </w:p>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未提供得0分，</w:t>
            </w:r>
            <w:r>
              <w:rPr>
                <w:rFonts w:hint="eastAsia" w:ascii="宋体" w:hAnsi="宋体" w:eastAsia="宋体" w:cs="宋体"/>
                <w:color w:val="000000"/>
                <w:sz w:val="24"/>
                <w:szCs w:val="24"/>
                <w:highlight w:val="none"/>
                <w:lang w:val="en-US" w:eastAsia="en-US" w:bidi="ar-SA"/>
              </w:rPr>
              <w:t xml:space="preserve">本项最高得</w:t>
            </w:r>
            <w:r>
              <w:rPr>
                <w:rFonts w:hint="eastAsia" w:ascii="宋体" w:hAnsi="宋体" w:eastAsia="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en-US" w:bidi="ar-SA"/>
              </w:rPr>
              <w:t xml:space="preserve">分，最低得0分。</w:t>
            </w:r>
            <w:r/>
          </w:p>
        </w:tc>
      </w:tr>
    </w:tbl>
    <w:p>
      <w:pPr>
        <w:ind w:right="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说明：本项目采用综合评分法。</w:t>
      </w:r>
      <w:r/>
    </w:p>
    <w:p>
      <w:pPr>
        <w:ind w:right="0"/>
        <w:jc w:val="both"/>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4"/>
          <w:szCs w:val="24"/>
          <w:highlight w:val="none"/>
          <w:lang w:val="en-US" w:eastAsia="zh-CN" w:bidi="ar-SA"/>
        </w:rPr>
      </w:r>
      <w:r/>
    </w:p>
    <w:p>
      <w:pPr>
        <w:numPr>
          <w:ilvl w:val="0"/>
          <w:numId w:val="4"/>
        </w:numPr>
        <w:ind w:right="0"/>
        <w:jc w:val="center"/>
        <w:keepLines w:val="0"/>
        <w:keepNext w:val="0"/>
        <w:pageBreakBefore w:val="0"/>
        <w:spacing w:before="0" w:beforeAutospacing="0" w:after="0" w:afterAutospacing="0" w:line="360" w:lineRule="auto"/>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highlight w:val="none"/>
        </w:rPr>
        <w:t xml:space="preserve">拟签订的合同文本</w:t>
      </w:r>
      <w:r/>
    </w:p>
    <w:p>
      <w:pPr>
        <w:rPr>
          <w:rFonts w:hint="eastAsia" w:ascii="宋体" w:hAnsi="宋体" w:cs="宋体"/>
          <w:b/>
          <w:color w:val="000000"/>
          <w:sz w:val="52"/>
          <w:szCs w:val="36"/>
          <w:highlight w:val="none"/>
        </w:rPr>
      </w:pPr>
      <w:r>
        <w:rPr>
          <w:rFonts w:hint="eastAsia" w:ascii="宋体" w:hAnsi="宋体" w:cs="宋体"/>
          <w:b/>
          <w:color w:val="000000"/>
          <w:sz w:val="52"/>
          <w:szCs w:val="36"/>
          <w:highlight w:val="none"/>
        </w:rPr>
      </w:r>
      <w:r/>
    </w:p>
    <w:p>
      <w:pPr>
        <w:jc w:val="center"/>
        <w:rPr>
          <w:rFonts w:hint="eastAsia" w:ascii="宋体" w:hAnsi="宋体" w:cs="宋体"/>
          <w:bCs/>
          <w:color w:val="000000"/>
          <w:sz w:val="72"/>
          <w:szCs w:val="72"/>
          <w:highlight w:val="none"/>
        </w:rPr>
      </w:pPr>
      <w:r>
        <w:rPr>
          <w:rFonts w:hint="eastAsia" w:ascii="宋体" w:hAnsi="宋体" w:cs="宋体"/>
          <w:bCs/>
          <w:color w:val="000000"/>
          <w:sz w:val="72"/>
          <w:szCs w:val="72"/>
          <w:highlight w:val="none"/>
        </w:rPr>
        <w:t xml:space="preserve">政</w:t>
      </w:r>
      <w:r>
        <w:rPr>
          <w:rFonts w:hint="eastAsia" w:ascii="宋体" w:hAnsi="宋体" w:cs="宋体"/>
          <w:bCs/>
          <w:color w:val="000000"/>
          <w:sz w:val="72"/>
          <w:szCs w:val="72"/>
          <w:highlight w:val="none"/>
          <w:lang w:val="en-US" w:eastAsia="zh-CN"/>
        </w:rPr>
        <w:t xml:space="preserve"> </w:t>
      </w:r>
      <w:r>
        <w:rPr>
          <w:rFonts w:hint="eastAsia" w:ascii="宋体" w:hAnsi="宋体" w:cs="宋体"/>
          <w:bCs/>
          <w:color w:val="000000"/>
          <w:sz w:val="72"/>
          <w:szCs w:val="72"/>
          <w:highlight w:val="none"/>
        </w:rPr>
        <w:t xml:space="preserve">府</w:t>
      </w:r>
      <w:r>
        <w:rPr>
          <w:rFonts w:hint="eastAsia" w:ascii="宋体" w:hAnsi="宋体" w:cs="宋体"/>
          <w:bCs/>
          <w:color w:val="000000"/>
          <w:sz w:val="72"/>
          <w:szCs w:val="72"/>
          <w:highlight w:val="none"/>
          <w:lang w:val="en-US" w:eastAsia="zh-CN"/>
        </w:rPr>
        <w:t xml:space="preserve"> </w:t>
      </w:r>
      <w:r>
        <w:rPr>
          <w:rFonts w:hint="eastAsia" w:ascii="宋体" w:hAnsi="宋体" w:cs="宋体"/>
          <w:bCs/>
          <w:color w:val="000000"/>
          <w:sz w:val="72"/>
          <w:szCs w:val="72"/>
          <w:highlight w:val="none"/>
        </w:rPr>
        <w:t xml:space="preserve">采</w:t>
      </w:r>
      <w:r>
        <w:rPr>
          <w:rFonts w:hint="eastAsia" w:ascii="宋体" w:hAnsi="宋体" w:cs="宋体"/>
          <w:bCs/>
          <w:color w:val="000000"/>
          <w:sz w:val="72"/>
          <w:szCs w:val="72"/>
          <w:highlight w:val="none"/>
          <w:lang w:val="en-US" w:eastAsia="zh-CN"/>
        </w:rPr>
        <w:t xml:space="preserve"> </w:t>
      </w:r>
      <w:r>
        <w:rPr>
          <w:rFonts w:hint="eastAsia" w:ascii="宋体" w:hAnsi="宋体" w:cs="宋体"/>
          <w:bCs/>
          <w:color w:val="000000"/>
          <w:sz w:val="72"/>
          <w:szCs w:val="72"/>
          <w:highlight w:val="none"/>
        </w:rPr>
        <w:t xml:space="preserve">购</w:t>
      </w:r>
      <w:r>
        <w:rPr>
          <w:rFonts w:hint="eastAsia" w:ascii="宋体" w:hAnsi="宋体" w:cs="宋体"/>
          <w:bCs/>
          <w:color w:val="000000"/>
          <w:sz w:val="72"/>
          <w:szCs w:val="72"/>
          <w:highlight w:val="none"/>
          <w:lang w:val="en-US" w:eastAsia="zh-CN"/>
        </w:rPr>
        <w:t xml:space="preserve"> </w:t>
      </w:r>
      <w:r>
        <w:rPr>
          <w:rFonts w:hint="eastAsia" w:ascii="宋体" w:hAnsi="宋体" w:cs="宋体"/>
          <w:bCs/>
          <w:color w:val="000000"/>
          <w:sz w:val="72"/>
          <w:szCs w:val="72"/>
          <w:highlight w:val="none"/>
        </w:rPr>
        <w:t xml:space="preserve">合</w:t>
      </w:r>
      <w:r>
        <w:rPr>
          <w:rFonts w:hint="eastAsia" w:ascii="宋体" w:hAnsi="宋体" w:cs="宋体"/>
          <w:bCs/>
          <w:color w:val="000000"/>
          <w:sz w:val="72"/>
          <w:szCs w:val="72"/>
          <w:highlight w:val="none"/>
          <w:lang w:val="en-US" w:eastAsia="zh-CN"/>
        </w:rPr>
        <w:t xml:space="preserve"> </w:t>
      </w:r>
      <w:r>
        <w:rPr>
          <w:rFonts w:hint="eastAsia" w:ascii="宋体" w:hAnsi="宋体" w:cs="宋体"/>
          <w:bCs/>
          <w:color w:val="000000"/>
          <w:sz w:val="72"/>
          <w:szCs w:val="72"/>
          <w:highlight w:val="none"/>
        </w:rPr>
        <w:t xml:space="preserve">同</w:t>
      </w:r>
      <w:r/>
    </w:p>
    <w:p>
      <w:pPr>
        <w:jc w:val="left"/>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jc w:val="left"/>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ind w:firstLine="320"/>
        <w:jc w:val="left"/>
        <w:rPr>
          <w:rFonts w:hint="eastAsia" w:ascii="宋体" w:hAnsi="宋体" w:eastAsia="宋体" w:cs="宋体"/>
          <w:bCs/>
          <w:color w:val="000000"/>
          <w:sz w:val="32"/>
          <w:szCs w:val="32"/>
          <w:highlight w:val="none"/>
          <w:lang w:eastAsia="zh-CN"/>
        </w:rPr>
      </w:pPr>
      <w:r>
        <w:rPr>
          <w:rFonts w:hint="eastAsia" w:ascii="宋体" w:hAnsi="宋体" w:cs="宋体"/>
          <w:bCs/>
          <w:color w:val="000000"/>
          <w:sz w:val="32"/>
          <w:szCs w:val="32"/>
          <w:highlight w:val="none"/>
        </w:rPr>
        <w:t xml:space="preserve">项目编号：</w:t>
      </w:r>
      <w:r>
        <w:rPr>
          <w:rFonts w:hint="eastAsia" w:ascii="宋体" w:hAnsi="宋体" w:eastAsia="宋体" w:cs="宋体"/>
          <w:bCs/>
          <w:color w:val="000000"/>
          <w:sz w:val="32"/>
          <w:szCs w:val="32"/>
          <w:highlight w:val="none"/>
          <w:lang w:eastAsia="zh-CN"/>
        </w:rPr>
        <w:t xml:space="preserve">JSZC-320300-YMXM-G2026-0001</w:t>
      </w:r>
      <w:r/>
    </w:p>
    <w:p>
      <w:pPr>
        <w:jc w:val="left"/>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ind w:firstLine="320"/>
        <w:jc w:val="left"/>
        <w:rPr>
          <w:rFonts w:hint="eastAsia" w:ascii="宋体" w:hAnsi="宋体" w:eastAsia="宋体" w:cs="宋体"/>
          <w:bCs/>
          <w:color w:val="000000"/>
          <w:sz w:val="32"/>
          <w:szCs w:val="32"/>
          <w:highlight w:val="none"/>
          <w:lang w:eastAsia="zh-CN"/>
        </w:rPr>
      </w:pPr>
      <w:r>
        <w:rPr>
          <w:rFonts w:hint="eastAsia" w:ascii="宋体" w:hAnsi="宋体" w:cs="宋体"/>
          <w:bCs/>
          <w:color w:val="000000"/>
          <w:sz w:val="32"/>
          <w:szCs w:val="32"/>
          <w:highlight w:val="none"/>
        </w:rPr>
        <w:t xml:space="preserve">项目名称：</w:t>
      </w:r>
      <w:r>
        <w:rPr>
          <w:rFonts w:hint="eastAsia" w:ascii="宋体" w:hAnsi="宋体" w:cs="宋体"/>
          <w:bCs/>
          <w:color w:val="000000"/>
          <w:sz w:val="32"/>
          <w:szCs w:val="32"/>
          <w:highlight w:val="none"/>
          <w:lang w:eastAsia="zh-CN"/>
        </w:rPr>
        <w:t xml:space="preserve">市救灾物资储备库配套设施（市物资储备专项资金）</w:t>
      </w:r>
      <w:r/>
    </w:p>
    <w:p>
      <w:pPr>
        <w:jc w:val="left"/>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ind w:firstLine="320"/>
        <w:jc w:val="left"/>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采购单位（甲方）：徐州市发展和改革委员会</w:t>
      </w:r>
      <w:r/>
    </w:p>
    <w:p>
      <w:pPr>
        <w:jc w:val="left"/>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ind w:firstLine="320"/>
        <w:jc w:val="left"/>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中标供应商（乙方）：</w:t>
      </w:r>
      <w:r/>
    </w:p>
    <w:p>
      <w:pPr>
        <w:jc w:val="left"/>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ind w:firstLine="320"/>
        <w:jc w:val="left"/>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签订日期：    年  月  日</w:t>
      </w:r>
      <w:r/>
    </w:p>
    <w:p>
      <w:pPr>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7"/>
        <w:ind w:left="0" w:right="0" w:firstLine="0"/>
        <w:spacing w:after="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17"/>
        <w:ind w:left="0" w:right="0" w:firstLine="480"/>
        <w:jc w:val="left"/>
        <w:keepLines w:val="0"/>
        <w:keepNext w:val="0"/>
        <w:pageBreakBefore w:val="0"/>
        <w:spacing w:after="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友情提醒：采购人与中标，成交供应商应当在中标通知书发出之日起</w:t>
      </w:r>
      <w:r>
        <w:rPr>
          <w:rFonts w:hint="eastAsia" w:ascii="宋体" w:hAnsi="宋体" w:eastAsia="宋体" w:cs="宋体"/>
          <w:b w:val="0"/>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日内，按照采购文件确定的事项签订政府采购合同。</w:t>
      </w:r>
      <w:r/>
    </w:p>
    <w:p>
      <w:pPr>
        <w:pStyle w:val="859"/>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szCs w:val="24"/>
          <w:highlight w:val="none"/>
        </w:rPr>
        <w:t xml:space="preserve">采购人应当自政府采购合同签订之日起</w:t>
      </w:r>
      <w:r>
        <w:rPr>
          <w:rFonts w:hint="eastAsia" w:ascii="宋体" w:hAnsi="宋体" w:eastAsia="宋体" w:cs="宋体"/>
          <w:b/>
          <w:color w:val="000000"/>
          <w:sz w:val="24"/>
          <w:szCs w:val="24"/>
          <w:highlight w:val="none"/>
        </w:rPr>
        <w:t xml:space="preserve">2</w:t>
      </w:r>
      <w:r>
        <w:rPr>
          <w:rFonts w:hint="eastAsia" w:ascii="宋体" w:hAnsi="宋体" w:eastAsia="宋体" w:cs="宋体"/>
          <w:bCs/>
          <w:color w:val="000000"/>
          <w:sz w:val="24"/>
          <w:szCs w:val="24"/>
          <w:highlight w:val="none"/>
        </w:rPr>
        <w:t xml:space="preserve">个工作日内，将政府采购合同在省级及以上人民政府财政部门指定的媒体上公告，但政府采购合同中涉及国家秘密、商业秘密的内容除外。</w:t>
      </w:r>
      <w:r/>
    </w:p>
    <w:p>
      <w:pPr>
        <w:pStyle w:val="859"/>
        <w:jc w:val="both"/>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p>
    <w:p>
      <w:pPr>
        <w:pStyle w:val="85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合同通用条款</w:t>
      </w:r>
      <w:r/>
    </w:p>
    <w:p>
      <w:pPr>
        <w:pStyle w:val="85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5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目录</w:t>
      </w:r>
      <w:r/>
    </w:p>
    <w:p>
      <w:pPr>
        <w:pStyle w:val="859"/>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定义</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第二条    合同范围</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第三条    价格</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第四条    支付</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第五条    交货</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第六条    包装和标记</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第七条    技术资料</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第八条    安装</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第九条    验收</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第十条    售后服务和技术培训</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第十一条  索赔</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第十二条  不可抗力</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第十四条  争议的解决</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第十五条  适用法律</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第十六条  权利保证</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第十七条  保密</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第十八条  合同生效及其他</w:t>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5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szCs w:val="24"/>
          <w:highlight w:val="none"/>
        </w:rPr>
        <w:t xml:space="preserve">合同通用条款</w:t>
      </w:r>
      <w:r/>
    </w:p>
    <w:p>
      <w:pPr>
        <w:pStyle w:val="85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第一条  定义</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除本合同上下文中另有规定外，下列各词语定义如下： </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1.1“买方”见《合同专用条款》。</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1.2“卖方”见《合同专用条款》。</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1.3“工作现场”见《合同专用条款》。</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1.4“合同标的”见合同附件4。</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1.5“技术资料”是指与合同标的的安装、试运行、验收、操作以及维修有关的技术指标、规格、图纸和文件。</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1.6“技术培训”是指在合同标的的安装、试运行、验收、操作、维修以及其他方面卖方给予买方的培训。</w:t>
      </w:r>
      <w:r/>
    </w:p>
    <w:p>
      <w:pPr>
        <w:pStyle w:val="859"/>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1.7“安装”是指有关合同标的、备件和材料的安装工作。</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1.8“试运行”是指为验明合同标的的技术性能，在安装完毕后对合同标的进行的测试。</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1.10“合同货币”见《合同专用条款》。</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1.11“合同价格”见合同附件4。</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1.12“合同生效日”见《合同协议书》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第5 条。</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1.13“日”是指日历天数。</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1.14“月”是指日历月数。</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第二条 合同范围</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2.1买方同意从卖方购买、卖方同意向买方出售和提供的合同标的以及相关售后服务、技术培训和技术资料。</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第三条 价格</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合同总价见《合同专用条款》。</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合同总价是固定价格。</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第四条 支付</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4.2卖方有义务根据合同的规定向买方支付违约金和/或赔偿金时。</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第五条 交货</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5.1交货期限、批次和交货条件见《合同专用条款》。</w:t>
      </w:r>
      <w:r/>
    </w:p>
    <w:p>
      <w:pPr>
        <w:pStyle w:val="859"/>
        <w:ind w:firstLine="480"/>
        <w:spacing w:line="360" w:lineRule="auto"/>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5.2交货地点见《合同专用条款》。</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5.3在《合同专用条款》规定的期限内，卖方应将合同号、合同标的的名称、数量、金额、包装件数以及交货的时间以书面方式通知买方。</w:t>
      </w:r>
      <w:r/>
    </w:p>
    <w:p>
      <w:pPr>
        <w:pStyle w:val="859"/>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5.4卖方应按下列规定交付合同标的：</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5.4.1卖方负责将合同标的送至《合同专用条款》规定的交货地点。</w:t>
      </w:r>
      <w:r/>
    </w:p>
    <w:p>
      <w:pPr>
        <w:pStyle w:val="859"/>
        <w:ind w:firstLine="480"/>
        <w:spacing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5.4.2买方出具的收据日期是合同标的的实际交货日期。</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5.5如果卖方未能按照合同规定的交货期限交货，卖方应按《合同专用条款》的规定支付违约金或提供其他救济。</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第六条 包装与标记</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6.1除非合同中另有规定，合同标的应保持产品制造企业原包装完好。</w:t>
      </w:r>
      <w:r/>
    </w:p>
    <w:p>
      <w:pPr>
        <w:pStyle w:val="859"/>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6.2在合同标的的每件包装中都应附有下列单据： </w:t>
      </w:r>
      <w:r/>
    </w:p>
    <w:p>
      <w:pPr>
        <w:pStyle w:val="859"/>
        <w:ind w:firstLine="480"/>
        <w:spacing w:line="360" w:lineRule="auto"/>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A. 装箱明细单； </w:t>
      </w:r>
      <w:r/>
    </w:p>
    <w:p>
      <w:pPr>
        <w:pStyle w:val="859"/>
        <w:ind w:firstLine="480"/>
        <w:spacing w:line="360" w:lineRule="auto"/>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B. 质量合格证； </w:t>
      </w:r>
      <w:r/>
    </w:p>
    <w:p>
      <w:pPr>
        <w:pStyle w:val="859"/>
        <w:ind w:firstLine="480"/>
        <w:spacing w:line="360" w:lineRule="auto"/>
        <w:rPr>
          <w:rFonts w:hint="eastAsia" w:ascii="宋体" w:hAnsi="宋体" w:eastAsia="宋体" w:cs="宋体"/>
          <w:strike/>
          <w:color w:val="000000"/>
          <w:sz w:val="24"/>
          <w:szCs w:val="24"/>
          <w:highlight w:val="none"/>
        </w:rPr>
      </w:pPr>
      <w:r>
        <w:rPr>
          <w:rFonts w:hint="eastAsia" w:ascii="宋体" w:hAnsi="宋体" w:eastAsia="宋体" w:cs="宋体"/>
          <w:color w:val="000000"/>
          <w:sz w:val="24"/>
          <w:szCs w:val="24"/>
          <w:highlight w:val="none"/>
        </w:rPr>
        <w:t xml:space="preserve">C. 技术资料。</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第七条 技术资料</w:t>
      </w:r>
      <w:r/>
    </w:p>
    <w:p>
      <w:pPr>
        <w:pStyle w:val="859"/>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7.1 技术资料交付的期限和方式见《合同专用条款》。</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第八条 安装</w:t>
      </w:r>
      <w:r/>
    </w:p>
    <w:p>
      <w:pPr>
        <w:pStyle w:val="859"/>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8.1 合同标的的安装期限见《合同专用条款》。</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第九条 验收</w:t>
      </w:r>
      <w:r/>
    </w:p>
    <w:p>
      <w:pPr>
        <w:pStyle w:val="859"/>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9.1合同标的的试运行、验收见《合同专用条款》。</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9.2如果合同附件2 所规定的所有技术性能在验收中都已经达到，双方应在验收合格后5 日内签署验收书。</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9.3买方派出1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3名技术人员参加项目实施，卖方应积极配合甲方派出的1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3名技术人员监督管理。</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第十条 售后服务和技术培训</w:t>
      </w:r>
      <w:r/>
    </w:p>
    <w:p>
      <w:pPr>
        <w:pStyle w:val="859"/>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10.1售后服务和技术培训见合同附件3。</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第十一条 索赔</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卖方替换不符合合同规定的合同标的。</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按质量低劣的程度、买方受损害的程度及损失的数额对合同标的进行降价。</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拒收合同标的。</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 赔偿由卖方违约引起的其他损失。</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第十二条 不可抗力</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12.1如果合同任何一方</w:t>
      </w:r>
      <w:r>
        <w:rPr>
          <w:rFonts w:hint="eastAsia" w:ascii="宋体" w:hAnsi="宋体" w:eastAsia="宋体" w:cs="宋体"/>
          <w:color w:val="000000"/>
          <w:sz w:val="24"/>
          <w:szCs w:val="24"/>
          <w:highlight w:val="none"/>
          <w:lang w:eastAsia="zh-CN"/>
        </w:rPr>
        <w:t xml:space="preserve">受到</w:t>
      </w:r>
      <w:r>
        <w:rPr>
          <w:rFonts w:hint="eastAsia" w:ascii="宋体" w:hAnsi="宋体" w:eastAsia="宋体" w:cs="宋体"/>
          <w:color w:val="000000"/>
          <w:sz w:val="24"/>
          <w:szCs w:val="24"/>
          <w:highlight w:val="none"/>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第十三条 合同的终止</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13.1如果卖方有下述违约行为之一或《合同专用条款》中规定的其他违约行为，在不妨碍买方</w:t>
      </w:r>
      <w:r>
        <w:rPr>
          <w:rFonts w:hint="eastAsia" w:ascii="宋体" w:hAnsi="宋体" w:eastAsia="宋体" w:cs="宋体"/>
          <w:color w:val="000000"/>
          <w:sz w:val="24"/>
          <w:szCs w:val="24"/>
          <w:highlight w:val="none"/>
          <w:lang w:eastAsia="zh-CN"/>
        </w:rPr>
        <w:t xml:space="preserve">采取其他</w:t>
      </w:r>
      <w:r>
        <w:rPr>
          <w:rFonts w:hint="eastAsia" w:ascii="宋体" w:hAnsi="宋体" w:eastAsia="宋体" w:cs="宋体"/>
          <w:color w:val="000000"/>
          <w:sz w:val="24"/>
          <w:szCs w:val="24"/>
          <w:highlight w:val="none"/>
        </w:rPr>
        <w:t xml:space="preserve">救济手段的情况下，买方可以向卖方发出书面违约通知，全部或部分地终止合同。</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卖方在合同规定的交货期限后未能按《合同专用条款》中规定的最终期限交付合同标的和/或技术资料； </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合同标的未能达到合同附件2 规定的技术性能； </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卖方未能履行合同项下</w:t>
      </w:r>
      <w:r>
        <w:rPr>
          <w:rFonts w:hint="eastAsia" w:ascii="宋体" w:hAnsi="宋体" w:eastAsia="宋体" w:cs="宋体"/>
          <w:color w:val="000000"/>
          <w:sz w:val="24"/>
          <w:szCs w:val="24"/>
          <w:highlight w:val="none"/>
          <w:lang w:eastAsia="zh-CN"/>
        </w:rPr>
        <w:t xml:space="preserve">任何其他</w:t>
      </w:r>
      <w:r>
        <w:rPr>
          <w:rFonts w:hint="eastAsia" w:ascii="宋体" w:hAnsi="宋体" w:eastAsia="宋体" w:cs="宋体"/>
          <w:color w:val="000000"/>
          <w:sz w:val="24"/>
          <w:szCs w:val="24"/>
          <w:highlight w:val="none"/>
        </w:rPr>
        <w:t xml:space="preserve">义务，并且在收到买方违约通知后未能按《合同专用条款》中规定的期限对其违约行为作出补救。</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13.2如果一方破产或发生资不抵债的情况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合同另一方有权在任何时候发出书面通知终止合同。此种情况下合同的终止不妨碍或影响行使任何可能</w:t>
      </w:r>
      <w:r>
        <w:rPr>
          <w:rFonts w:hint="eastAsia" w:ascii="宋体" w:hAnsi="宋体" w:eastAsia="宋体" w:cs="宋体"/>
          <w:color w:val="000000"/>
          <w:sz w:val="24"/>
          <w:szCs w:val="24"/>
          <w:highlight w:val="none"/>
          <w:lang w:eastAsia="zh-CN"/>
        </w:rPr>
        <w:t xml:space="preserve">的其他</w:t>
      </w:r>
      <w:r>
        <w:rPr>
          <w:rFonts w:hint="eastAsia" w:ascii="宋体" w:hAnsi="宋体" w:eastAsia="宋体" w:cs="宋体"/>
          <w:color w:val="000000"/>
          <w:sz w:val="24"/>
          <w:szCs w:val="24"/>
          <w:highlight w:val="none"/>
        </w:rPr>
        <w:t xml:space="preserve">救济手段。</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13.3如果买方认定卖方在投标或执行合同中有腐败或欺诈行为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买方有权在任何时候发出书面通知终止合同。</w:t>
      </w:r>
      <w:r/>
    </w:p>
    <w:p>
      <w:pPr>
        <w:pStyle w:val="859"/>
        <w:ind w:left="1" w:firstLine="53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A.“腐败行为”系指在招标、采购和合同执行等过程中，为谋求利益、影响相关人员而提供、给予、接受或索取任何有价物的行为。</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B.“欺诈行为”系指为了影响招标、采购和合同执行等过程而隐瞒事实，从而给买方造成损害的行为，其中包括</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供应商之间的串通行为。</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在买方全部或部分终止合同的情况下，卖方应按《合同专用条款》的规定对买方给予补偿。</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第十四条 争议的解决</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因执行本合同所发生的或者与本合同有关的一切争议由合同双方通过友好协商解决，如果不能协商一致，按《合同专用条款》规定的方式解决。</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第十五条 适用法律</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本合同的执行和争议的解决适用中华人民共和国的法律并按中华人民共和国的法律进行解释。</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第十六条  权利保证</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16.1卖方应保证买方在使用合同标的时不受第三方提出侵犯其专利权、版权、商标权或其他权利的起诉。一旦出现侵权，卖方承担全部责任。</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第十七条  保密 </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17.2上述秘密，卖方只能用于本合同，而且只能由卖方相应的人员使用；没有必要接触的卖方人员，不得接触。</w:t>
      </w:r>
      <w:r/>
    </w:p>
    <w:p>
      <w:pPr>
        <w:pStyle w:val="859"/>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17.3卖方应当采取适当有效的方式保护所获取的上述秘密。</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违约义务。</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第十八条 合同生效及其他</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本合同在合同协议书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合同附件1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规定的条件全部满足后生效。</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pStyle w:val="859"/>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18.3 合同双方各自承担与本合同有关的应负税费。</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18.4合同双方除非《合同专用条款》另有规定，所有合同文件及相关的修订和合同双方之间的书面联络，应使用中文</w:t>
      </w:r>
      <w:r>
        <w:rPr>
          <w:rFonts w:hint="eastAsia" w:ascii="宋体" w:hAnsi="宋体" w:eastAsia="宋体" w:cs="宋体"/>
          <w:color w:val="000000"/>
          <w:sz w:val="24"/>
          <w:szCs w:val="24"/>
          <w:highlight w:val="none"/>
          <w:lang w:eastAsia="zh-CN"/>
        </w:rPr>
        <w:t xml:space="preserve">书写</w:t>
      </w:r>
      <w:r>
        <w:rPr>
          <w:rFonts w:hint="eastAsia" w:ascii="宋体" w:hAnsi="宋体" w:eastAsia="宋体" w:cs="宋体"/>
          <w:color w:val="000000"/>
          <w:sz w:val="24"/>
          <w:szCs w:val="24"/>
          <w:highlight w:val="none"/>
        </w:rPr>
        <w:t xml:space="preserve">并按中文解释。</w:t>
      </w:r>
      <w:r/>
    </w:p>
    <w:p>
      <w:pPr>
        <w:pStyle w:val="859"/>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18.5对本合同的任何补充、增添或修改以书面方式进行。</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18.6没有另一方的事先书面同意，合同任何一方不得将合同项下的任何权利和义务转让给第三方。</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18.8合同条款中的标题和边注仅供参考使用，不应视为合同的一部分，也不影响本文的解释。</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18.9合同构成买方和卖方之间就合同主要内容方面的完整协议，并且取代合同签订前所有关于这方面的通讯、协商、协议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不论是书面的，还是口头的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pStyle w:val="8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highlight w:val="none"/>
        </w:rPr>
        <w:t xml:space="preserve">合同专用条款</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第一条 定义</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“买方”为              。</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“卖方”为              。</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“工作现场”为</w:t>
      </w:r>
      <w:r>
        <w:rPr>
          <w:rFonts w:hint="eastAsia" w:ascii="宋体" w:hAnsi="宋体" w:eastAsia="宋体" w:cs="宋体"/>
          <w:color w:val="000000"/>
          <w:sz w:val="24"/>
          <w:szCs w:val="24"/>
          <w:highlight w:val="none"/>
          <w:u w:val="single"/>
        </w:rPr>
        <w:t xml:space="preserve">买方指定地点</w:t>
      </w:r>
      <w:r>
        <w:rPr>
          <w:rFonts w:hint="eastAsia" w:ascii="宋体" w:hAnsi="宋体" w:eastAsia="宋体" w:cs="宋体"/>
          <w:color w:val="000000"/>
          <w:sz w:val="24"/>
          <w:szCs w:val="24"/>
          <w:highlight w:val="none"/>
        </w:rPr>
        <w:t xml:space="preserve">。</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 “合同货币”即</w:t>
      </w:r>
      <w:r>
        <w:rPr>
          <w:rFonts w:hint="eastAsia" w:ascii="宋体" w:hAnsi="宋体" w:eastAsia="宋体" w:cs="宋体"/>
          <w:color w:val="000000"/>
          <w:sz w:val="24"/>
          <w:szCs w:val="24"/>
          <w:highlight w:val="none"/>
          <w:u w:val="single"/>
        </w:rPr>
        <w:t xml:space="preserve">人民币</w:t>
      </w:r>
      <w:r>
        <w:rPr>
          <w:rFonts w:hint="eastAsia" w:ascii="宋体" w:hAnsi="宋体" w:eastAsia="宋体" w:cs="宋体"/>
          <w:color w:val="000000"/>
          <w:sz w:val="24"/>
          <w:szCs w:val="24"/>
          <w:highlight w:val="none"/>
        </w:rPr>
        <w:t xml:space="preserve">。</w:t>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第二条 合同范围</w:t>
      </w:r>
      <w:r/>
    </w:p>
    <w:p>
      <w:pPr>
        <w:pStyle w:val="85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2.1买方同意从卖方购买、卖方同意向买方出售的合同标的是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。详见合同附件。</w:t>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第三条 价格</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3.1合同总价为￥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本合同为固定总价合同，项目实施过程中除采购人提出的变更要求外不增加任何费用，本合同总价中包含国家法律法规对设备、材料的检验、检测费用及完成本合同所需的人材机费，管理费，规费，税费等所有费用。</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3.3本合同价格为包括但不限于产品价、包装费、设计费、运杂费、保险费、安装费、辅材费、调试费、上门服务费、技术服务费等其他一切有可能产生或增加的费用。</w:t>
      </w:r>
      <w:r/>
    </w:p>
    <w:p>
      <w:pPr>
        <w:pStyle w:val="859"/>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lang w:val="en-US" w:eastAsia="zh-CN"/>
        </w:rPr>
        <w:t xml:space="preserve">第四条 </w:t>
      </w:r>
      <w:r>
        <w:rPr>
          <w:rFonts w:hint="eastAsia" w:ascii="宋体" w:hAnsi="宋体" w:eastAsia="宋体" w:cs="宋体"/>
          <w:color w:val="000000"/>
          <w:sz w:val="24"/>
          <w:szCs w:val="24"/>
          <w:highlight w:val="none"/>
        </w:rPr>
        <w:t xml:space="preserve">支付</w:t>
      </w:r>
      <w:r/>
    </w:p>
    <w:p>
      <w:pPr>
        <w:pStyle w:val="859"/>
        <w:ind w:firstLine="480"/>
        <w:spacing w:line="360" w:lineRule="auto"/>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付款方式一：提交预付款保函的</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合同价款的百分之</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en-US" w:eastAsia="zh-CN"/>
        </w:rPr>
        <w:t xml:space="preserve">十（</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val="en-US" w:eastAsia="zh-CN"/>
        </w:rPr>
        <w:t xml:space="preserve">%）即￥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元整，在双方签订合同，乙方向甲方出具等额预付款保函后15日内，办理政府采购资金结算手续支付给乙方。</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合同价款的百分之</w:t>
      </w:r>
      <w:r>
        <w:rPr>
          <w:rFonts w:hint="eastAsia" w:ascii="宋体" w:hAnsi="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en-US" w:eastAsia="zh-CN"/>
        </w:rPr>
        <w:t xml:space="preserve">十（</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val="en-US" w:eastAsia="zh-CN"/>
        </w:rPr>
        <w:t xml:space="preserve">%）即￥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元整，</w:t>
      </w:r>
      <w:r>
        <w:rPr>
          <w:rFonts w:hint="eastAsia" w:ascii="宋体" w:hAnsi="宋体" w:cs="宋体"/>
          <w:color w:val="000000"/>
          <w:sz w:val="24"/>
          <w:highlight w:val="none"/>
        </w:rPr>
        <w:t xml:space="preserve">合同标的全部交付</w:t>
      </w:r>
      <w:r>
        <w:rPr>
          <w:rFonts w:hint="eastAsia" w:ascii="宋体" w:hAnsi="宋体" w:cs="宋体"/>
          <w:color w:val="000000"/>
          <w:sz w:val="24"/>
          <w:highlight w:val="none"/>
          <w:lang w:eastAsia="zh-CN"/>
        </w:rPr>
        <w:t xml:space="preserve">并</w:t>
      </w:r>
      <w:r>
        <w:rPr>
          <w:rFonts w:hint="eastAsia" w:ascii="宋体" w:hAnsi="宋体" w:cs="宋体"/>
          <w:color w:val="000000"/>
          <w:sz w:val="24"/>
          <w:highlight w:val="none"/>
        </w:rPr>
        <w:t xml:space="preserve">安装完毕</w:t>
      </w:r>
      <w:r>
        <w:rPr>
          <w:rFonts w:hint="eastAsia" w:ascii="宋体" w:hAnsi="宋体" w:eastAsia="宋体" w:cs="宋体"/>
          <w:i w:val="0"/>
          <w:iCs w:val="0"/>
          <w:caps w:val="0"/>
          <w:color w:val="000000"/>
          <w:spacing w:val="0"/>
          <w:sz w:val="24"/>
          <w:szCs w:val="24"/>
          <w:highlight w:val="none"/>
          <w:shd w:val="clear" w:color="auto" w:fill="ffffff"/>
        </w:rPr>
        <w:t xml:space="preserve">，设备正常试运行</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15日</w:t>
      </w:r>
      <w:r>
        <w:rPr>
          <w:rFonts w:hint="eastAsia" w:ascii="宋体" w:hAnsi="宋体" w:eastAsia="宋体" w:cs="宋体"/>
          <w:i w:val="0"/>
          <w:iCs w:val="0"/>
          <w:caps w:val="0"/>
          <w:color w:val="000000"/>
          <w:spacing w:val="0"/>
          <w:sz w:val="24"/>
          <w:szCs w:val="24"/>
          <w:highlight w:val="none"/>
          <w:shd w:val="clear" w:color="auto" w:fill="ffffff"/>
        </w:rPr>
        <w:t xml:space="preserve">后，</w:t>
      </w:r>
      <w:r>
        <w:rPr>
          <w:rFonts w:hint="eastAsia" w:ascii="宋体" w:hAnsi="宋体" w:eastAsia="宋体" w:cs="宋体"/>
          <w:i w:val="0"/>
          <w:iCs w:val="0"/>
          <w:caps w:val="0"/>
          <w:color w:val="000000"/>
          <w:spacing w:val="0"/>
          <w:sz w:val="24"/>
          <w:szCs w:val="24"/>
          <w:highlight w:val="none"/>
          <w:shd w:val="clear" w:color="auto" w:fill="ffffff"/>
          <w:lang w:eastAsia="zh-CN"/>
        </w:rPr>
        <w:t xml:space="preserve">进行项目验收；验收合格后</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个工作日内</w:t>
      </w:r>
      <w:r>
        <w:rPr>
          <w:rFonts w:hint="eastAsia" w:ascii="宋体" w:hAnsi="宋体" w:cs="宋体"/>
          <w:color w:val="000000"/>
          <w:sz w:val="24"/>
          <w:szCs w:val="24"/>
          <w:highlight w:val="none"/>
          <w:lang w:val="en-US" w:eastAsia="zh-CN"/>
        </w:rPr>
        <w:t xml:space="preserve">甲方对乙方提交的结算资料进行审核，审核确认后支付结算款（审计确认金额扣除预付款、违约款等后的金额）。</w:t>
      </w:r>
      <w:r/>
    </w:p>
    <w:p>
      <w:pPr>
        <w:pStyle w:val="859"/>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付款方式二：不提交预付款保函的</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合同价款的百分之</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zh-CN"/>
        </w:rPr>
        <w:t xml:space="preserve">十（</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元整，在双方签订合同</w:t>
      </w:r>
      <w:r>
        <w:rPr>
          <w:rFonts w:hint="eastAsia" w:ascii="宋体" w:hAnsi="宋体" w:cs="宋体"/>
          <w:color w:val="000000"/>
          <w:sz w:val="24"/>
          <w:szCs w:val="24"/>
          <w:highlight w:val="none"/>
          <w:lang w:val="en-US" w:eastAsia="zh-CN"/>
        </w:rPr>
        <w:t xml:space="preserve">，设备进场</w:t>
      </w:r>
      <w:r>
        <w:rPr>
          <w:rFonts w:hint="eastAsia" w:ascii="宋体" w:hAnsi="宋体" w:eastAsia="宋体" w:cs="宋体"/>
          <w:color w:val="000000"/>
          <w:sz w:val="24"/>
          <w:szCs w:val="24"/>
          <w:highlight w:val="none"/>
          <w:lang w:val="en-US" w:eastAsia="zh-CN"/>
        </w:rPr>
        <w:t xml:space="preserve">后15个工作日内支付，办理政府采购资金结算手续支付给乙方。</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合同价款的百分之</w:t>
      </w:r>
      <w:r>
        <w:rPr>
          <w:rFonts w:hint="eastAsia" w:ascii="宋体" w:hAnsi="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lang w:val="en-US" w:eastAsia="zh-CN"/>
        </w:rPr>
        <w:t xml:space="preserve">十（</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0%）即￥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元整，</w:t>
      </w:r>
      <w:r>
        <w:rPr>
          <w:rFonts w:hint="eastAsia" w:ascii="宋体" w:hAnsi="宋体" w:cs="宋体"/>
          <w:color w:val="000000"/>
          <w:sz w:val="24"/>
          <w:highlight w:val="none"/>
        </w:rPr>
        <w:t xml:space="preserve">合同标的全部交付</w:t>
      </w:r>
      <w:r>
        <w:rPr>
          <w:rFonts w:hint="eastAsia" w:ascii="宋体" w:hAnsi="宋体" w:cs="宋体"/>
          <w:color w:val="000000"/>
          <w:sz w:val="24"/>
          <w:highlight w:val="none"/>
          <w:lang w:eastAsia="zh-CN"/>
        </w:rPr>
        <w:t xml:space="preserve">并</w:t>
      </w:r>
      <w:r>
        <w:rPr>
          <w:rFonts w:hint="eastAsia" w:ascii="宋体" w:hAnsi="宋体" w:cs="宋体"/>
          <w:color w:val="000000"/>
          <w:sz w:val="24"/>
          <w:highlight w:val="none"/>
        </w:rPr>
        <w:t xml:space="preserve">安装完毕</w:t>
      </w:r>
      <w:r>
        <w:rPr>
          <w:rFonts w:hint="eastAsia" w:ascii="宋体" w:hAnsi="宋体" w:eastAsia="宋体" w:cs="宋体"/>
          <w:i w:val="0"/>
          <w:iCs w:val="0"/>
          <w:caps w:val="0"/>
          <w:color w:val="000000"/>
          <w:spacing w:val="0"/>
          <w:sz w:val="24"/>
          <w:szCs w:val="24"/>
          <w:highlight w:val="none"/>
          <w:shd w:val="clear" w:color="auto" w:fill="ffffff"/>
        </w:rPr>
        <w:t xml:space="preserve">，设备正常试运行</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15日</w:t>
      </w:r>
      <w:r>
        <w:rPr>
          <w:rFonts w:hint="eastAsia" w:ascii="宋体" w:hAnsi="宋体" w:eastAsia="宋体" w:cs="宋体"/>
          <w:i w:val="0"/>
          <w:iCs w:val="0"/>
          <w:caps w:val="0"/>
          <w:color w:val="000000"/>
          <w:spacing w:val="0"/>
          <w:sz w:val="24"/>
          <w:szCs w:val="24"/>
          <w:highlight w:val="none"/>
          <w:shd w:val="clear" w:color="auto" w:fill="ffffff"/>
        </w:rPr>
        <w:t xml:space="preserve">后，</w:t>
      </w:r>
      <w:r>
        <w:rPr>
          <w:rFonts w:hint="eastAsia" w:ascii="宋体" w:hAnsi="宋体" w:eastAsia="宋体" w:cs="宋体"/>
          <w:i w:val="0"/>
          <w:iCs w:val="0"/>
          <w:caps w:val="0"/>
          <w:color w:val="000000"/>
          <w:spacing w:val="0"/>
          <w:sz w:val="24"/>
          <w:szCs w:val="24"/>
          <w:highlight w:val="none"/>
          <w:shd w:val="clear" w:color="auto" w:fill="ffffff"/>
          <w:lang w:eastAsia="zh-CN"/>
        </w:rPr>
        <w:t xml:space="preserve">进行项目验收；验收合格后</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t xml:space="preserve">个工作日内，甲方对乙方提交的结算资料进行审核，审核确认后支付结算款（审计确认金额扣除预付款、违约款等后的金额），由买方办理政府采购资金结算手续，经审核后支付给卖方。</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卖方需提交的支付文件包括：</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1、中标通知书、合同、验收报告</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2、卖方出具的全额正式发票</w:t>
      </w:r>
      <w:r/>
    </w:p>
    <w:p>
      <w:pPr>
        <w:pStyle w:val="859"/>
        <w:ind w:firstLine="480"/>
        <w:spacing w:line="360" w:lineRule="auto"/>
        <w:rPr>
          <w:rFonts w:hint="eastAsia" w:ascii="宋体" w:hAnsi="宋体" w:cs="宋体"/>
          <w:color w:val="000000"/>
          <w:sz w:val="24"/>
          <w:highlight w:val="none"/>
          <w:lang w:val="en-US" w:eastAsia="zh-CN"/>
        </w:rPr>
      </w:pPr>
      <w:r>
        <w:rPr>
          <w:rFonts w:hint="eastAsia" w:ascii="宋体" w:hAnsi="宋体" w:eastAsia="宋体" w:cs="宋体"/>
          <w:color w:val="000000"/>
          <w:spacing w:val="0"/>
          <w:sz w:val="24"/>
          <w:szCs w:val="24"/>
          <w:highlight w:val="none"/>
          <w:lang w:val="en-US" w:eastAsia="zh-CN"/>
        </w:rPr>
        <w:t xml:space="preserve">3、如因卖方未能开具真实有效的发票或未提供支付申请而导致买方延期付款的，责任由卖方承担。开具发票为本合同卖方主要义务。买方内部正常审批流程不计算在付款期限之内。若因财政付款审批程序滞后，卖方不承担逾期付款的违约责任</w:t>
      </w:r>
      <w:r>
        <w:rPr>
          <w:rFonts w:hint="eastAsia" w:ascii="宋体" w:hAnsi="宋体" w:cs="宋体"/>
          <w:color w:val="000000"/>
          <w:spacing w:val="0"/>
          <w:sz w:val="24"/>
          <w:szCs w:val="24"/>
          <w:highlight w:val="none"/>
          <w:lang w:val="en-US" w:eastAsia="zh-CN"/>
        </w:rPr>
        <w:t xml:space="preserve">。</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上述费</w:t>
      </w:r>
      <w:r>
        <w:rPr>
          <w:rFonts w:hint="eastAsia" w:ascii="宋体" w:hAnsi="宋体" w:cs="宋体"/>
          <w:color w:val="000000"/>
          <w:sz w:val="24"/>
          <w:szCs w:val="24"/>
          <w:highlight w:val="none"/>
          <w:lang w:val="en-US" w:eastAsia="zh-CN"/>
        </w:rPr>
        <w:t xml:space="preserve">用由</w:t>
      </w:r>
      <w:r>
        <w:rPr>
          <w:rFonts w:hint="eastAsia" w:ascii="宋体" w:hAnsi="宋体" w:eastAsia="宋体" w:cs="宋体"/>
          <w:color w:val="000000"/>
          <w:sz w:val="24"/>
          <w:szCs w:val="24"/>
          <w:highlight w:val="none"/>
          <w:lang w:val="en-US" w:eastAsia="zh-CN"/>
        </w:rPr>
        <w:t xml:space="preserve">甲方支付至乙方指定账户内。除乙方另行指定外，该指定账户信息为：</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户名： </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账号：</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开户行：</w:t>
      </w:r>
      <w:r/>
    </w:p>
    <w:p>
      <w:pPr>
        <w:pStyle w:val="861"/>
        <w:rPr>
          <w:color w:val="000000"/>
          <w:highlight w:val="none"/>
          <w:lang w:val="en-US" w:eastAsia="zh-CN"/>
        </w:rPr>
      </w:pPr>
      <w:r>
        <w:rPr>
          <w:rFonts w:hint="eastAsia"/>
          <w:color w:val="000000"/>
          <w:highlight w:val="none"/>
          <w:lang w:val="en-US" w:eastAsia="zh-CN"/>
        </w:rPr>
        <w:t xml:space="preserve">       </w:t>
      </w:r>
      <w:r/>
    </w:p>
    <w:p>
      <w:pPr>
        <w:pStyle w:val="859"/>
        <w:ind w:firstLine="480"/>
        <w:spacing w:line="360" w:lineRule="auto"/>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第五条 交货</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5.1卖方应于合同生效日后，</w:t>
      </w:r>
      <w:r>
        <w:rPr>
          <w:rFonts w:hint="eastAsia" w:ascii="宋体" w:hAnsi="宋体" w:eastAsia="宋体" w:cs="宋体"/>
          <w:color w:val="000000"/>
          <w:sz w:val="24"/>
          <w:szCs w:val="24"/>
          <w:highlight w:val="none"/>
          <w:lang w:val="en-US" w:eastAsia="en-US"/>
        </w:rPr>
        <w:t xml:space="preserve">合同签订后</w:t>
      </w:r>
      <w:r>
        <w:rPr>
          <w:rFonts w:hint="eastAsia" w:ascii="宋体" w:hAnsi="宋体" w:cs="宋体"/>
          <w:color w:val="000000"/>
          <w:sz w:val="24"/>
          <w:szCs w:val="24"/>
          <w:highlight w:val="none"/>
          <w:lang w:val="en-US" w:eastAsia="zh-CN"/>
        </w:rPr>
        <w:t xml:space="preserve">30日历天</w:t>
      </w:r>
      <w:r>
        <w:rPr>
          <w:rFonts w:hint="eastAsia" w:ascii="宋体" w:hAnsi="宋体" w:eastAsia="宋体" w:cs="宋体"/>
          <w:color w:val="000000"/>
          <w:sz w:val="24"/>
          <w:szCs w:val="24"/>
          <w:highlight w:val="none"/>
          <w:lang w:val="en-US" w:eastAsia="en-US"/>
        </w:rPr>
        <w:t xml:space="preserve">内</w:t>
      </w:r>
      <w:r>
        <w:rPr>
          <w:rFonts w:hint="eastAsia" w:ascii="宋体" w:hAnsi="宋体" w:cs="宋体"/>
          <w:color w:val="000000"/>
          <w:sz w:val="24"/>
          <w:szCs w:val="24"/>
          <w:highlight w:val="none"/>
          <w:lang w:val="en-US" w:eastAsia="zh-CN"/>
        </w:rPr>
        <w:t xml:space="preserve">供货安装完毕</w:t>
      </w:r>
      <w:r>
        <w:rPr>
          <w:rFonts w:hint="eastAsia" w:ascii="宋体" w:hAnsi="宋体" w:eastAsia="宋体" w:cs="宋体"/>
          <w:color w:val="000000"/>
          <w:sz w:val="24"/>
          <w:szCs w:val="24"/>
          <w:highlight w:val="none"/>
          <w:lang w:val="en-US" w:eastAsia="zh-CN"/>
        </w:rPr>
        <w:t xml:space="preserve">。</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 交货地点为</w:t>
      </w:r>
      <w:r>
        <w:rPr>
          <w:rFonts w:hint="eastAsia" w:ascii="宋体" w:hAnsi="宋体" w:eastAsia="宋体" w:cs="宋体"/>
          <w:color w:val="000000"/>
          <w:sz w:val="24"/>
          <w:szCs w:val="24"/>
          <w:highlight w:val="none"/>
          <w:u w:val="single"/>
          <w:lang w:val="en-US" w:eastAsia="zh-CN"/>
        </w:rPr>
        <w:t xml:space="preserve">买方指定地点</w:t>
      </w:r>
      <w:r>
        <w:rPr>
          <w:rFonts w:hint="eastAsia" w:ascii="宋体" w:hAnsi="宋体" w:eastAsia="宋体" w:cs="宋体"/>
          <w:color w:val="000000"/>
          <w:sz w:val="24"/>
          <w:szCs w:val="24"/>
          <w:highlight w:val="none"/>
          <w:lang w:val="en-US" w:eastAsia="zh-CN"/>
        </w:rPr>
        <w:t xml:space="preserve">。</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5.3卖方应在不迟于每批合同标的备妥待运前</w:t>
      </w:r>
      <w:r>
        <w:rPr>
          <w:rFonts w:hint="eastAsia" w:ascii="宋体" w:hAnsi="宋体" w:eastAsia="宋体" w:cs="宋体"/>
          <w:color w:val="000000"/>
          <w:sz w:val="24"/>
          <w:szCs w:val="24"/>
          <w:highlight w:val="none"/>
          <w:u w:val="single"/>
          <w:lang w:val="en-US" w:eastAsia="zh-CN"/>
        </w:rPr>
        <w:t xml:space="preserve"> 5 </w:t>
      </w:r>
      <w:r>
        <w:rPr>
          <w:rFonts w:hint="eastAsia" w:ascii="宋体" w:hAnsi="宋体" w:eastAsia="宋体" w:cs="宋体"/>
          <w:color w:val="000000"/>
          <w:sz w:val="24"/>
          <w:szCs w:val="24"/>
          <w:highlight w:val="none"/>
          <w:lang w:val="en-US" w:eastAsia="zh-CN"/>
        </w:rPr>
        <w:t xml:space="preserve">日通知买方。</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5.4如果卖方未能按照合同规定的交货期限交货，卖方应按每天迟交合同标的金额的</w:t>
      </w:r>
      <w:r>
        <w:rPr>
          <w:rFonts w:hint="eastAsia" w:ascii="宋体" w:hAnsi="宋体" w:eastAsia="宋体" w:cs="宋体"/>
          <w:color w:val="000000"/>
          <w:sz w:val="24"/>
          <w:szCs w:val="24"/>
          <w:highlight w:val="none"/>
          <w:u w:val="single"/>
          <w:lang w:val="en-US" w:eastAsia="zh-CN"/>
        </w:rPr>
        <w:t xml:space="preserve">百分之一 </w:t>
      </w:r>
      <w:r>
        <w:rPr>
          <w:rFonts w:hint="eastAsia" w:ascii="宋体" w:hAnsi="宋体" w:eastAsia="宋体" w:cs="宋体"/>
          <w:color w:val="000000"/>
          <w:sz w:val="24"/>
          <w:szCs w:val="24"/>
          <w:highlight w:val="none"/>
          <w:lang w:val="en-US" w:eastAsia="zh-CN"/>
        </w:rPr>
        <w:t xml:space="preserve">（1%）的比率支付违约金。违约金的总金额不超过合同总价的</w:t>
      </w:r>
      <w:r>
        <w:rPr>
          <w:rFonts w:hint="eastAsia" w:ascii="宋体" w:hAnsi="宋体" w:eastAsia="宋体" w:cs="宋体"/>
          <w:color w:val="000000"/>
          <w:sz w:val="24"/>
          <w:szCs w:val="24"/>
          <w:highlight w:val="none"/>
          <w:u w:val="single"/>
          <w:lang w:val="en-US" w:eastAsia="zh-CN"/>
        </w:rPr>
        <w:t xml:space="preserve">百分之十</w:t>
      </w:r>
      <w:r>
        <w:rPr>
          <w:rFonts w:hint="eastAsia" w:ascii="宋体" w:hAnsi="宋体" w:eastAsia="宋体" w:cs="宋体"/>
          <w:color w:val="000000"/>
          <w:sz w:val="24"/>
          <w:szCs w:val="24"/>
          <w:highlight w:val="none"/>
          <w:lang w:val="en-US" w:eastAsia="zh-CN"/>
        </w:rPr>
        <w:t xml:space="preserve">（10%） ，违约金的支付不能免除卖方继续交付相关合同标的的义务。</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如果卖方在合同规定的交货期限后十日内仍未能交付全部或部分标的，在不妨碍买方采取其他救济手段的情况下，买方可以向卖方发出书面违约通知从而全部或部分地终止合同。</w:t>
      </w:r>
      <w:r/>
    </w:p>
    <w:p>
      <w:pPr>
        <w:pStyle w:val="859"/>
        <w:ind w:firstLine="480"/>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六、履约保函：</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w:t>
      </w:r>
      <w:r>
        <w:rPr>
          <w:rFonts w:hint="eastAsia" w:ascii="宋体" w:hAnsi="宋体" w:cs="宋体"/>
          <w:color w:val="000000"/>
          <w:sz w:val="24"/>
          <w:highlight w:val="none"/>
        </w:rPr>
        <w:t xml:space="preserve">卖方应在合同签订</w:t>
      </w:r>
      <w:r>
        <w:rPr>
          <w:rFonts w:hint="eastAsia" w:ascii="宋体" w:hAnsi="宋体" w:cs="宋体"/>
          <w:color w:val="000000"/>
          <w:sz w:val="24"/>
          <w:highlight w:val="none"/>
          <w:lang w:eastAsia="zh-CN"/>
        </w:rPr>
        <w:t xml:space="preserve">前</w:t>
      </w:r>
      <w:r>
        <w:rPr>
          <w:rFonts w:hint="eastAsia" w:ascii="宋体" w:hAnsi="宋体" w:cs="宋体"/>
          <w:color w:val="000000"/>
          <w:sz w:val="24"/>
          <w:highlight w:val="none"/>
        </w:rPr>
        <w:t xml:space="preserve">，向买方提交合同总价</w:t>
      </w:r>
      <w:r>
        <w:rPr>
          <w:rFonts w:hint="eastAsia" w:ascii="宋体" w:hAnsi="宋体" w:eastAsia="宋体" w:cs="宋体"/>
          <w:color w:val="000000"/>
          <w:sz w:val="24"/>
          <w:szCs w:val="24"/>
          <w:highlight w:val="none"/>
          <w:lang w:val="en-US" w:eastAsia="zh-CN"/>
        </w:rPr>
        <w:t xml:space="preserve">的10%，以支票、汇票、本票或者金融机构、担保机构出具的保函等非现金形式缴纳。</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履约保证金形式：履约保证金应当以支票、本票、汇票或金融机构、担保机构出具的保函等非现金形式提交。</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履约保证金退还的方式、时间、条件和不予退还的情形:</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退还方式:由买方将履约保证金无息退还卖方。</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退还时间:卖方缴纳的履约保证金，待合同标的履约完成、验收合格，双方书面确认无责任纠纷，并办理交付证明后30日内一次性无息退还。</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退还条件:本项目合同标的履约完成、验收合格，双方书面确认无责任纠纷，并办理交付证明后。</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不予退还的情形:卖方不履行合同约定的义务，未能完全履行合同规定的义务或其履行不符合合同的约定，买方有权扣除履约保证金取得补偿。</w:t>
      </w:r>
      <w:r/>
    </w:p>
    <w:p>
      <w:pPr>
        <w:pStyle w:val="859"/>
        <w:ind w:firstLine="480"/>
        <w:spacing w:line="360" w:lineRule="auto"/>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第七条 技术资料</w:t>
      </w:r>
      <w:r/>
    </w:p>
    <w:p>
      <w:pPr>
        <w:pStyle w:val="859"/>
        <w:ind w:firstLine="480"/>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7.1 技术资料随合同标的同时交付给买方。</w:t>
      </w:r>
      <w:r/>
    </w:p>
    <w:p>
      <w:pPr>
        <w:pStyle w:val="859"/>
        <w:ind w:firstLine="480"/>
        <w:spacing w:line="360" w:lineRule="auto"/>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第八条 安装</w:t>
      </w:r>
      <w:r/>
    </w:p>
    <w:p>
      <w:pPr>
        <w:pStyle w:val="859"/>
        <w:ind w:firstLine="480"/>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8.1卖方应于合同签订生效后，</w:t>
      </w:r>
      <w:r>
        <w:rPr>
          <w:rFonts w:hint="eastAsia" w:ascii="宋体" w:hAnsi="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lang w:val="en-US" w:eastAsia="zh-CN"/>
        </w:rPr>
        <w:t xml:space="preserve">日历天内供货完毕。</w:t>
      </w:r>
      <w:r/>
    </w:p>
    <w:p>
      <w:pPr>
        <w:pStyle w:val="859"/>
        <w:ind w:firstLine="480"/>
        <w:spacing w:line="360" w:lineRule="auto"/>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第九条 验收</w:t>
      </w:r>
      <w:r/>
    </w:p>
    <w:p>
      <w:pPr>
        <w:pStyle w:val="859"/>
        <w:ind w:firstLine="480"/>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9.1 签订合同后，所有标的出厂需经买方验收后方可发货。</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9.2 合同标的的试运行、验收应在卖方的协助下进行。合同标的全部交付并安装完毕后，卖方可向买方书面提出试运行、验收要求，买方在接到书面要求后进行试运行</w:t>
      </w:r>
      <w:r>
        <w:rPr>
          <w:rFonts w:hint="eastAsia" w:ascii="宋体" w:hAnsi="宋体" w:cs="宋体"/>
          <w:color w:val="000000"/>
          <w:sz w:val="24"/>
          <w:szCs w:val="24"/>
          <w:highlight w:val="none"/>
          <w:lang w:val="en-US" w:eastAsia="zh-CN"/>
        </w:rPr>
        <w:t xml:space="preserve">，正常试运行</w:t>
      </w:r>
      <w:r>
        <w:rPr>
          <w:rFonts w:hint="eastAsia" w:ascii="宋体" w:hAnsi="宋体" w:cs="宋体"/>
          <w:color w:val="000000"/>
          <w:sz w:val="24"/>
          <w:szCs w:val="24"/>
          <w:highlight w:val="none"/>
          <w:u w:val="single"/>
          <w:lang w:val="en-US" w:eastAsia="zh-CN"/>
        </w:rPr>
        <w:t xml:space="preserve">15</w:t>
      </w:r>
      <w:r>
        <w:rPr>
          <w:rFonts w:hint="eastAsia" w:ascii="宋体" w:hAnsi="宋体" w:cs="宋体"/>
          <w:color w:val="000000"/>
          <w:sz w:val="24"/>
          <w:szCs w:val="24"/>
          <w:highlight w:val="none"/>
          <w:lang w:val="en-US" w:eastAsia="zh-CN"/>
        </w:rPr>
        <w:t xml:space="preserve">日后，进行最终</w:t>
      </w:r>
      <w:r>
        <w:rPr>
          <w:rFonts w:hint="eastAsia" w:ascii="宋体" w:hAnsi="宋体" w:eastAsia="宋体" w:cs="宋体"/>
          <w:color w:val="000000"/>
          <w:sz w:val="24"/>
          <w:szCs w:val="24"/>
          <w:highlight w:val="none"/>
          <w:lang w:val="en-US" w:eastAsia="zh-CN"/>
        </w:rPr>
        <w:t xml:space="preserve">验收。如果试运行和/或验收因卖方原因发生迟延和/ 或在其他情况下发生额外费用，买方有权就因迟延发生的损害和损失和/或任何额外费用请求赔偿。</w:t>
      </w:r>
      <w:r/>
    </w:p>
    <w:p>
      <w:pPr>
        <w:pStyle w:val="859"/>
        <w:ind w:firstLine="480"/>
        <w:spacing w:line="360" w:lineRule="auto"/>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第十条 违约责任</w:t>
      </w:r>
      <w:r/>
    </w:p>
    <w:p>
      <w:pPr>
        <w:pStyle w:val="859"/>
        <w:ind w:firstLine="480"/>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10.1买方有权选择本条款规定的任意或全部救济方式。</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10.2卖方应在收到买方索赔要求后14日内作出书面回复，否则该索赔要求将被视为已被卖方接受。卖方应在买方发出索赔要求后14日内，按照买方选择的救济方法解决索赔事宜。</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10.3如果合同标的在安装、试运行和验收中卖方未能履行其在本合同项下承担的义务，买方有权向卖方提出索赔并寻求《合同专用条款》中规定的救济方式，救济方式包括：</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A. 卖方替换不符合合同规定的合同标的。</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B. 按质量低劣的程度、买方受损害的程度及损失的数额对合同标的进行降价。</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C. 拒收合同标的。</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D. 赔偿由卖方违约引起的其他损失。</w:t>
      </w:r>
      <w:r/>
    </w:p>
    <w:p>
      <w:pPr>
        <w:pStyle w:val="859"/>
        <w:ind w:firstLine="48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10.4如果发生声称本合同项下服务泄露买方秘密导致买方损失、或因侵犯他人知识产权或商业秘密等权利而针对买方提起索赔或诉讼仲裁的情况，除下款另有规定外，卖方应支付由此而产生的全部费用及赔偿金、律师费用。</w:t>
      </w:r>
      <w:r/>
    </w:p>
    <w:p>
      <w:pPr>
        <w:pStyle w:val="859"/>
        <w:ind w:firstLine="480"/>
        <w:spacing w:line="36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10.5买方若发现卖方向买方提交的投标资料以及本合同所载内容有弄虚作假、隐瞒事实内容等情形的，买方有权视情形单方解除本合同，卖方除应退还买方已支付的合同款外，还应向买方支付合同总金额20%的违约金。</w:t>
      </w:r>
      <w:r/>
    </w:p>
    <w:p>
      <w:pPr>
        <w:pStyle w:val="859"/>
        <w:ind w:firstLine="480"/>
        <w:spacing w:line="360" w:lineRule="auto"/>
        <w:rPr>
          <w:rFonts w:hint="eastAsia" w:ascii="宋体" w:hAnsi="宋体" w:cs="宋体"/>
          <w:color w:val="000000"/>
          <w:sz w:val="24"/>
          <w:highlight w:val="none"/>
          <w:lang w:val="en-US" w:eastAsia="zh-CN"/>
        </w:rPr>
      </w:pPr>
      <w:r>
        <w:rPr>
          <w:rFonts w:hint="eastAsia" w:ascii="宋体" w:hAnsi="宋体" w:eastAsia="宋体" w:cs="宋体"/>
          <w:color w:val="000000"/>
          <w:spacing w:val="0"/>
          <w:sz w:val="24"/>
          <w:szCs w:val="24"/>
          <w:highlight w:val="none"/>
          <w:lang w:val="en-US" w:eastAsia="zh-CN"/>
        </w:rPr>
        <w:t xml:space="preserve">10.6 买方有权按照合同约定可以在应付款中直接扣除违约金。</w:t>
      </w:r>
      <w:r/>
    </w:p>
    <w:p>
      <w:pPr>
        <w:pStyle w:val="859"/>
        <w:ind w:firstLine="480"/>
        <w:spacing w:line="360" w:lineRule="auto"/>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第十一条 不可抗力</w:t>
      </w:r>
      <w:r/>
    </w:p>
    <w:p>
      <w:pPr>
        <w:pStyle w:val="859"/>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11.1如果不可抗力事件的影响持续超过20日，合同任何一方均有权发出书面通知终止合同。</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11.2不可抗力造成的设备损坏、灭失或返工费用，由双方按以下方式承担：</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若损坏发生在设备交付前，由中标单位承担修复或重新提供的费用；</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若损坏发生在设备交付后、验收前，由采购人协助中标单位处理，费用由中标单位承担；</w:t>
      </w:r>
      <w:r/>
    </w:p>
    <w:p>
      <w:pPr>
        <w:pStyle w:val="859"/>
        <w:ind w:firstLine="480"/>
        <w:spacing w:line="360" w:lineRule="auto"/>
        <w:rPr>
          <w:rFonts w:hint="eastAsia"/>
          <w:color w:val="000000"/>
          <w:highlight w:val="none"/>
          <w:lang w:val="en-US" w:eastAsia="zh-CN"/>
        </w:rPr>
      </w:pPr>
      <w:r>
        <w:rPr>
          <w:rFonts w:hint="eastAsia" w:ascii="宋体" w:hAnsi="宋体" w:eastAsia="宋体" w:cs="宋体"/>
          <w:color w:val="000000"/>
          <w:sz w:val="24"/>
          <w:szCs w:val="24"/>
          <w:highlight w:val="none"/>
          <w:lang w:val="en-US" w:eastAsia="zh-CN"/>
        </w:rPr>
        <w:t xml:space="preserve">若因不可抗力导致项目完全无法继续履行，双方可协商解除合同，互不追究违约责任，已发生的合理费用按合同约定结算。</w:t>
      </w:r>
      <w:r/>
    </w:p>
    <w:p>
      <w:pPr>
        <w:pStyle w:val="861"/>
        <w:rPr>
          <w:rFonts w:hint="eastAsia"/>
          <w:color w:val="000000"/>
          <w:highlight w:val="none"/>
          <w:lang w:val="en-US" w:eastAsia="zh-CN"/>
        </w:rPr>
      </w:pPr>
      <w:r>
        <w:rPr>
          <w:rFonts w:hint="eastAsia"/>
          <w:color w:val="000000"/>
          <w:highlight w:val="none"/>
          <w:lang w:val="en-US" w:eastAsia="zh-CN"/>
        </w:rPr>
      </w:r>
      <w:r/>
    </w:p>
    <w:p>
      <w:pPr>
        <w:pStyle w:val="859"/>
        <w:ind w:firstLine="480"/>
        <w:spacing w:line="360" w:lineRule="auto"/>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第十二条 合同的终止</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12.1如果卖方有下述违约行为，买方可以全部或部分地终止合同：</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卖方在合同规定的交货期限后</w:t>
      </w:r>
      <w:r>
        <w:rPr>
          <w:rFonts w:hint="eastAsia" w:ascii="宋体" w:hAnsi="宋体" w:eastAsia="宋体" w:cs="宋体"/>
          <w:color w:val="000000"/>
          <w:sz w:val="24"/>
          <w:szCs w:val="24"/>
          <w:highlight w:val="none"/>
          <w:u w:val="single"/>
          <w:lang w:val="en-US" w:eastAsia="zh-CN"/>
        </w:rPr>
        <w:t xml:space="preserve">10</w:t>
      </w:r>
      <w:r>
        <w:rPr>
          <w:rFonts w:hint="eastAsia" w:ascii="宋体" w:hAnsi="宋体" w:eastAsia="宋体" w:cs="宋体"/>
          <w:color w:val="000000"/>
          <w:sz w:val="24"/>
          <w:szCs w:val="24"/>
          <w:highlight w:val="none"/>
          <w:lang w:val="en-US" w:eastAsia="zh-CN"/>
        </w:rPr>
        <w:t xml:space="preserve">日内仍未能交付合同标的和/ 或技术资料；或者卖方未能履行合同项下任何其他义务，并且在收到买方违约通知后</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lang w:val="en-US" w:eastAsia="zh-CN"/>
        </w:rPr>
        <w:t xml:space="preserve">日内仍未能对其违约行为作出补救。</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859"/>
        <w:ind w:firstLine="480"/>
        <w:spacing w:line="360" w:lineRule="auto"/>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第十三条 争议的解决</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13.1如果不能协商一致，合同任何一方有权向买方所在地人民法院提起诉讼。</w:t>
      </w:r>
      <w:r/>
    </w:p>
    <w:p>
      <w:pPr>
        <w:pStyle w:val="859"/>
        <w:ind w:firstLine="480"/>
        <w:spacing w:line="360" w:lineRule="auto"/>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第十四条 合同生效及其他</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14.1 按照《财政部关于做好政府采购信息公开工作的通知》（财库〔2015〕135号），买方依据《中华人民共和国保守国家秘密法》等法律制度规定确定本合同</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部分涉及国家秘密，该涉及国家秘密部分不公告；买方依据《中华人民共和国反不正当竞争法》等法律制度的规定与卖方约定本合同</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部分涉及商业秘密，该涉及商业秘密部分不公告。</w:t>
      </w:r>
      <w:r/>
    </w:p>
    <w:p>
      <w:pPr>
        <w:pStyle w:val="859"/>
        <w:ind w:firstLine="480"/>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14.2 </w:t>
      </w:r>
      <w:r>
        <w:rPr>
          <w:rFonts w:hint="eastAsia" w:ascii="宋体" w:hAnsi="宋体" w:cs="宋体"/>
          <w:color w:val="000000"/>
          <w:sz w:val="24"/>
          <w:highlight w:val="none"/>
        </w:rPr>
        <w:t xml:space="preserve">本合同壹式</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份，甲方执</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份，乙方执</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份。</w:t>
      </w:r>
      <w:r/>
    </w:p>
    <w:p>
      <w:pPr>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（下页为合同签署页）</w:t>
      </w:r>
      <w:r/>
    </w:p>
    <w:p>
      <w:pPr>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甲  方：</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rPr>
        <w:t xml:space="preserve">              乙 方：</w:t>
      </w:r>
      <w:r/>
    </w:p>
    <w:p>
      <w:pPr>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                      法定代表人：                  </w:t>
      </w:r>
      <w:r/>
    </w:p>
    <w:p>
      <w:pPr>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委托代理人：                      委托代理人: </w:t>
      </w:r>
      <w:r/>
    </w:p>
    <w:p>
      <w:pPr>
        <w:ind w:left="6000" w:hanging="6000"/>
        <w:jc w:val="left"/>
        <w:keepLines w:val="0"/>
        <w:keepNext w:val="0"/>
        <w:pageBreakBefore w:val="0"/>
        <w:spacing w:line="400" w:lineRule="exact"/>
        <w:tabs>
          <w:tab w:val="left" w:pos="467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地址：                            地址： </w:t>
      </w:r>
      <w:r/>
    </w:p>
    <w:p>
      <w:pPr>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  话：                          电 话：</w:t>
      </w:r>
      <w:r/>
    </w:p>
    <w:p>
      <w:pPr>
        <w:ind w:left="4556" w:hanging="3120"/>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开 户 行：</w:t>
      </w:r>
      <w:r/>
    </w:p>
    <w:p>
      <w:pPr>
        <w:keepLines w:val="0"/>
        <w:keepNext w:val="0"/>
        <w:pageBreakBefore w:val="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账 号：  </w:t>
      </w:r>
      <w:r/>
    </w:p>
    <w:p>
      <w:pPr>
        <w:pStyle w:val="859"/>
        <w:spacing w:line="240" w:lineRule="auto"/>
        <w:rPr>
          <w:rFonts w:hint="eastAsia" w:ascii="宋体" w:hAnsi="宋体" w:eastAsia="宋体" w:cs="宋体"/>
          <w:color w:val="000000"/>
          <w:sz w:val="24"/>
          <w:szCs w:val="24"/>
          <w:highlight w:val="none"/>
          <w:lang w:eastAsia="zh-CN"/>
        </w:rPr>
        <w:sectPr>
          <w:footnotePr/>
          <w:endnotePr/>
          <w:type w:val="nextPage"/>
          <w:pgSz w:w="11906" w:h="16838" w:orient="portrait"/>
          <w:pgMar w:top="1440" w:right="1080" w:bottom="1383" w:left="1080" w:header="851" w:footer="992" w:gutter="0"/>
          <w:pgNumType w:start="1"/>
          <w:cols w:num="1" w:sep="0" w:space="1701" w:equalWidth="1"/>
          <w:docGrid w:linePitch="360"/>
        </w:sectPr>
      </w:pPr>
      <w:r>
        <w:rPr>
          <w:rFonts w:hint="eastAsia" w:ascii="宋体" w:hAnsi="宋体" w:cs="宋体"/>
          <w:color w:val="000000"/>
          <w:sz w:val="24"/>
          <w:highlight w:val="none"/>
        </w:rPr>
        <w:t xml:space="preserve">签订日期：                        签订日期：</w:t>
      </w:r>
      <w:r/>
    </w:p>
    <w:p>
      <w:pPr>
        <w:pStyle w:val="859"/>
        <w:ind w:firstLine="480"/>
        <w:spacing w:line="360" w:lineRule="auto"/>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合同附件</w:t>
      </w:r>
      <w:r/>
    </w:p>
    <w:p>
      <w:pPr>
        <w:pStyle w:val="859"/>
        <w:ind w:firstLine="48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目录</w:t>
      </w:r>
      <w:r/>
    </w:p>
    <w:p>
      <w:pPr>
        <w:pStyle w:val="861"/>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合同附件1：合同协议书</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合同附件2：技术规格和技术性能</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（要求见招标文件第六章《采购需求》；合同见卖方投标文件）</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合同附件3：售后服务</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（要求见招标文件第六章《采购需求》；合同见卖方投标文件）</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合同附件4：供货范围和价格清单</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（要求见招标文件第七章《投标文件相关格式》中《开标一览表》和《分项价格表》；合同见卖方投标文件）</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合同附件5：验收标准（验收要求、验收标准和程序）</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（要求见招标文件第六章《采购需求》；合同见卖方投标文件）</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合同附件6：采购需求</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（见招标文件第六章《采购需求》）</w:t>
      </w:r>
      <w:r/>
    </w:p>
    <w:p>
      <w:pPr>
        <w:pStyle w:val="8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szCs w:val="24"/>
          <w:highlight w:val="none"/>
          <w:lang w:val="en-US" w:eastAsia="zh-CN"/>
        </w:rPr>
        <w:t xml:space="preserve">合同附件1：</w:t>
      </w:r>
      <w:r/>
    </w:p>
    <w:p>
      <w:pPr>
        <w:pStyle w:val="859"/>
        <w:ind w:firstLine="48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合同协议书</w:t>
      </w:r>
      <w:r/>
    </w:p>
    <w:p>
      <w:pPr>
        <w:pStyle w:val="859"/>
        <w:ind w:firstLine="480"/>
        <w:jc w:val="righ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合同编号：____________ </w:t>
      </w:r>
      <w:r/>
    </w:p>
    <w:p>
      <w:pPr>
        <w:pStyle w:val="859"/>
        <w:ind w:firstLine="480"/>
        <w:jc w:val="righ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签字日期：____________ </w:t>
      </w:r>
      <w:r/>
    </w:p>
    <w:p>
      <w:pPr>
        <w:pStyle w:val="859"/>
        <w:ind w:firstLine="480"/>
        <w:jc w:val="righ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签字地点：____________ </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（买方名称）（以下简称“买方”）已接受</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（卖方名称）（以下简称“卖方”）对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（项目名称）（项目编号：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）的投标。买方和卖方共同达成如下协议。</w:t>
      </w:r>
      <w:r/>
    </w:p>
    <w:p>
      <w:pPr>
        <w:pStyle w:val="859"/>
        <w:ind w:firstLine="480"/>
        <w:spacing w:line="360" w:lineRule="auto"/>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1.本合同协议书中的词语和术语的含义与合同条款中定义的相同。</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2.以下文件应构成买方和卖方之间达成的合同，若各文件之间存在含糊不清或互相冲突之处，优先顺序应按下列文件顺序解释。</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 合同协议书</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 中标通知书</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 合同专用条款</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 合同通用条款</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 除合同附件1外的合同附件</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 其他文件</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3.考虑到买方将按照本合同向卖方支付合同价款，卖方在此保证全部按照合同的规定向买方提供合同标的、技术资料、售后服务及技术培训。</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4.考虑到卖方将按合同规定提供合同标的、技术资料、售后服务及技术培训，买方在此保证按照合同规定的时间和方式向卖方支付合同价款。</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5.本合同在下列条件全部满足后生效，生效日期以下列条件全部满足的最晚日期为准： </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（1）双方加盖电子签章或合同专用章；</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甲方收到乙方交纳的人民币___元的履约保证金（合同金额的10%），以支票、汇票、本票或者金融机构、担保机构出具的保函等非现金形式缴纳。履约保证金在中标供应商按合同履约完成月后无质量问题后无息退还。</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 合同一式</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份，具有同等法律效力，买方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份，卖方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份。</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7.本合同其他未尽事宜及与采购文件有矛盾之处，以采购文件[项目编号：            ]为准。如果不能协商一致，合同任何一方有权向买方所在地人民法院提起诉讼。</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买方和卖方由其正式授权代表于上述所写日期和地点签订本合同。</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买方（签章）： </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法定代表人或授权代表（签名）： </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卖方（签章）： </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法定代表人或授权代表（签名）： </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开户银行： </w:t>
      </w:r>
      <w:r/>
    </w:p>
    <w:p>
      <w:pPr>
        <w:pStyle w:val="85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银行账号：</w:t>
      </w:r>
      <w:r/>
    </w:p>
    <w:p>
      <w:pPr>
        <w:numPr>
          <w:ilvl w:val="0"/>
          <w:numId w:val="5"/>
        </w:numPr>
        <w:ind w:left="0" w:right="0" w:firstLine="0"/>
        <w:jc w:val="center"/>
        <w:keepLines w:val="0"/>
        <w:keepNext w:val="0"/>
        <w:pageBreakBefore w:val="0"/>
        <w:spacing w:before="0" w:beforeAutospacing="0" w:after="0" w:afterAutospacing="0" w:line="360" w:lineRule="auto"/>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highlight w:val="none"/>
        </w:rPr>
        <w:br w:type="page" w:clear="all"/>
      </w:r>
      <w:r>
        <w:rPr>
          <w:rFonts w:hint="eastAsia" w:ascii="宋体" w:hAnsi="宋体" w:eastAsia="宋体" w:cs="宋体"/>
          <w:b/>
          <w:color w:val="000000"/>
          <w:sz w:val="30"/>
          <w:highlight w:val="none"/>
        </w:rPr>
        <w:t xml:space="preserve">采购需求</w:t>
      </w:r>
      <w:r/>
    </w:p>
    <w:p>
      <w:pPr>
        <w:pStyle w:val="832"/>
        <w:ind w:left="0" w:right="0" w:firstLine="480"/>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b/>
          <w:bCs/>
          <w:color w:val="000000"/>
          <w:sz w:val="24"/>
          <w:szCs w:val="24"/>
          <w:highlight w:val="none"/>
          <w:lang w:eastAsia="zh-CN"/>
        </w:rPr>
        <w:t xml:space="preserve">一、工程概况</w:t>
      </w:r>
      <w:r/>
    </w:p>
    <w:p>
      <w:pPr>
        <w:pStyle w:val="832"/>
        <w:ind w:left="0" w:right="0" w:firstLine="480"/>
        <w:keepLines w:val="0"/>
        <w:keepNext w:val="0"/>
        <w:spacing w:before="0" w:beforeAutospacing="0" w:after="0" w:afterAutospacing="0" w:line="360" w:lineRule="auto"/>
        <w:widowControl/>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1、采购人：</w:t>
      </w:r>
      <w:r>
        <w:rPr>
          <w:rFonts w:hint="eastAsia" w:eastAsia="宋体" w:cs="宋体"/>
          <w:color w:val="000000"/>
          <w:sz w:val="24"/>
          <w:szCs w:val="24"/>
          <w:highlight w:val="none"/>
          <w:lang w:eastAsia="zh-CN"/>
        </w:rPr>
        <w:t xml:space="preserve">徐州市发展和改革委员会</w:t>
      </w:r>
      <w:r/>
    </w:p>
    <w:p>
      <w:pPr>
        <w:pStyle w:val="832"/>
        <w:ind w:left="0" w:firstLine="480"/>
        <w:keepLines w:val="0"/>
        <w:keepNext w:val="0"/>
        <w:spacing w:before="0" w:beforeAutospacing="0" w:after="0" w:afterAutospacing="0" w:line="360" w:lineRule="auto"/>
        <w:widowControl/>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2、采购项目名称：</w:t>
      </w:r>
      <w:r>
        <w:rPr>
          <w:rFonts w:hint="eastAsia" w:eastAsia="宋体" w:cs="宋体"/>
          <w:color w:val="000000"/>
          <w:sz w:val="24"/>
          <w:szCs w:val="24"/>
          <w:highlight w:val="none"/>
          <w:lang w:eastAsia="zh-CN"/>
        </w:rPr>
        <w:t xml:space="preserve">市救灾物资储备库配套设施（市物资储备专项资金）</w:t>
      </w:r>
      <w:r/>
    </w:p>
    <w:p>
      <w:pPr>
        <w:pStyle w:val="832"/>
        <w:ind w:left="0" w:firstLine="480"/>
        <w:keepLines w:val="0"/>
        <w:keepNext w:val="0"/>
        <w:spacing w:before="0" w:beforeAutospacing="0" w:after="0" w:afterAutospacing="0" w:line="360" w:lineRule="auto"/>
        <w:widowControl/>
        <w:rPr>
          <w:rFonts w:hint="eastAsia" w:eastAsia="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3、采购标的：</w:t>
      </w:r>
      <w:r>
        <w:rPr>
          <w:rFonts w:hint="eastAsia" w:eastAsia="宋体" w:cs="宋体"/>
          <w:color w:val="000000"/>
          <w:sz w:val="24"/>
          <w:szCs w:val="24"/>
          <w:highlight w:val="none"/>
          <w:lang w:eastAsia="zh-CN"/>
        </w:rPr>
        <w:t xml:space="preserve">市救灾物资储备库配套设施（市物资储备专项资金）</w:t>
      </w:r>
      <w:r/>
    </w:p>
    <w:p>
      <w:pPr>
        <w:pStyle w:val="832"/>
        <w:ind w:left="0" w:firstLine="480"/>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4、本项目为专门面向中小微企业采购的项目。</w:t>
      </w:r>
      <w:r/>
    </w:p>
    <w:p>
      <w:pPr>
        <w:pStyle w:val="832"/>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5、本项目采购的为非进口产品。</w:t>
      </w:r>
      <w:r/>
    </w:p>
    <w:p>
      <w:pPr>
        <w:pStyle w:val="832"/>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6、采购预算：</w:t>
      </w:r>
      <w:r>
        <w:rPr>
          <w:rFonts w:hint="eastAsia" w:ascii="宋体" w:hAnsi="宋体" w:eastAsia="宋体" w:cs="宋体"/>
          <w:color w:val="000000"/>
          <w:sz w:val="24"/>
          <w:szCs w:val="24"/>
          <w:highlight w:val="none"/>
          <w:lang w:val="en-US"/>
        </w:rPr>
        <w:t xml:space="preserve">本项目</w:t>
      </w:r>
      <w:r>
        <w:rPr>
          <w:rFonts w:hint="eastAsia" w:ascii="宋体" w:hAnsi="宋体" w:eastAsia="宋体" w:cs="宋体"/>
          <w:color w:val="000000"/>
          <w:sz w:val="24"/>
          <w:szCs w:val="24"/>
          <w:highlight w:val="none"/>
        </w:rPr>
        <w:t xml:space="preserve">不接受超过人民币</w:t>
      </w:r>
      <w:r>
        <w:rPr>
          <w:rFonts w:hint="eastAsia" w:eastAsia="宋体" w:cs="宋体"/>
          <w:b/>
          <w:bCs/>
          <w:color w:val="000000"/>
          <w:sz w:val="24"/>
          <w:szCs w:val="24"/>
          <w:highlight w:val="none"/>
          <w:lang w:eastAsia="zh-CN"/>
        </w:rPr>
        <w:t xml:space="preserve">94.94</w:t>
      </w:r>
      <w:r>
        <w:rPr>
          <w:rFonts w:hint="eastAsia" w:ascii="宋体" w:hAnsi="宋体" w:eastAsia="宋体" w:cs="宋体"/>
          <w:b/>
          <w:bCs/>
          <w:color w:val="000000"/>
          <w:sz w:val="24"/>
          <w:szCs w:val="24"/>
          <w:highlight w:val="none"/>
        </w:rPr>
        <w:t xml:space="preserve">万元</w:t>
      </w:r>
      <w:r>
        <w:rPr>
          <w:rFonts w:hint="eastAsia" w:ascii="宋体" w:hAnsi="宋体" w:eastAsia="宋体" w:cs="宋体"/>
          <w:color w:val="000000"/>
          <w:sz w:val="24"/>
          <w:szCs w:val="24"/>
          <w:highlight w:val="none"/>
        </w:rPr>
        <w:t xml:space="preserve">（采购项目预算金额）的投标报价</w:t>
      </w:r>
      <w:r>
        <w:rPr>
          <w:rFonts w:hint="eastAsia" w:ascii="宋体" w:hAnsi="宋体" w:eastAsia="宋体" w:cs="宋体"/>
          <w:color w:val="000000"/>
          <w:sz w:val="24"/>
          <w:szCs w:val="24"/>
          <w:highlight w:val="none"/>
          <w:lang w:val="en-US" w:eastAsia="zh-CN"/>
        </w:rPr>
        <w:t xml:space="preserve">。</w:t>
      </w:r>
      <w:r>
        <w:rPr>
          <w:rFonts w:hint="eastAsia"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lang w:val="en-US" w:eastAsia="zh-CN"/>
        </w:rPr>
        <w:t xml:space="preserve">包括但不限于产品价、包装费、设计费、运杂费、保险费、安装费、辅材费、调试费、</w:t>
      </w:r>
      <w:r>
        <w:rPr>
          <w:rFonts w:hint="eastAsia" w:eastAsia="宋体" w:cs="宋体"/>
          <w:color w:val="000000"/>
          <w:sz w:val="24"/>
          <w:szCs w:val="24"/>
          <w:highlight w:val="none"/>
          <w:lang w:val="en-US" w:eastAsia="zh-CN"/>
        </w:rPr>
        <w:t xml:space="preserve">检测费、</w:t>
      </w:r>
      <w:r>
        <w:rPr>
          <w:rFonts w:hint="eastAsia" w:ascii="宋体" w:hAnsi="宋体" w:eastAsia="宋体" w:cs="宋体"/>
          <w:color w:val="000000"/>
          <w:sz w:val="24"/>
          <w:szCs w:val="24"/>
          <w:highlight w:val="none"/>
          <w:lang w:val="en-US" w:eastAsia="zh-CN"/>
        </w:rPr>
        <w:t xml:space="preserve">上门服务费、技术服务费等其他一切有可能产生或增加的费用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采购人不再支付报价以外的任何费用。</w:t>
      </w:r>
      <w:r/>
    </w:p>
    <w:p>
      <w:pPr>
        <w:ind w:left="0" w:right="0" w:firstLine="480"/>
        <w:spacing w:before="0" w:after="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7、合同履行期限：合同生效日后，30日内将合同标的全部交付并安装完毕。</w:t>
      </w:r>
      <w:r/>
    </w:p>
    <w:p>
      <w:pPr>
        <w:pStyle w:val="859"/>
        <w:numPr>
          <w:ilvl w:val="0"/>
          <w:numId w:val="0"/>
        </w:numPr>
        <w:ind w:firstLine="482"/>
        <w:jc w:val="both"/>
        <w:keepLines w:val="0"/>
        <w:keepNext w:val="0"/>
        <w:pageBreakBefore w:val="0"/>
        <w:spacing w:line="420" w:lineRule="exact"/>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val="en-US" w:eastAsia="en-US" w:bidi="ar-SA"/>
        </w:rPr>
        <w:t xml:space="preserve">采购清单</w:t>
      </w:r>
      <w:r/>
    </w:p>
    <w:tbl>
      <w:tblPr>
        <w:tblStyle w:val="779"/>
        <w:tblW w:w="996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260"/>
        <w:gridCol w:w="5370"/>
        <w:gridCol w:w="900"/>
        <w:gridCol w:w="900"/>
        <w:gridCol w:w="776"/>
      </w:tblGrid>
      <w:tr>
        <w:trPr>
          <w:trHeight w:val="470"/>
        </w:trPr>
        <w:tc>
          <w:tcPr>
            <w:gridSpan w:val="6"/>
            <w:tcW w:w="9965"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1、仓储设施</w:t>
            </w:r>
            <w:r/>
          </w:p>
        </w:tc>
      </w:tr>
      <w:tr>
        <w:trPr>
          <w:trHeight w:val="270"/>
        </w:trPr>
        <w:tc>
          <w:tcPr>
            <w:tcW w:w="7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序号</w:t>
            </w:r>
            <w:r/>
          </w:p>
        </w:tc>
        <w:tc>
          <w:tcPr>
            <w:tcW w:w="12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物品</w:t>
            </w:r>
            <w:r/>
          </w:p>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名称</w:t>
            </w:r>
            <w:r/>
          </w:p>
        </w:tc>
        <w:tc>
          <w:tcPr>
            <w:tcW w:w="537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参数</w:t>
            </w:r>
            <w:r/>
          </w:p>
        </w:tc>
        <w:tc>
          <w:tcPr>
            <w:tcW w:w="9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数量</w:t>
            </w:r>
            <w:r/>
          </w:p>
        </w:tc>
        <w:tc>
          <w:tcPr>
            <w:tcW w:w="9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单位</w:t>
            </w:r>
            <w:r/>
          </w:p>
        </w:tc>
        <w:tc>
          <w:tcPr>
            <w:tcW w:w="7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备注</w:t>
            </w:r>
            <w:r/>
          </w:p>
        </w:tc>
      </w:tr>
      <w:tr>
        <w:trPr>
          <w:trHeight w:val="2183"/>
        </w:trPr>
        <w:tc>
          <w:tcPr>
            <w:tcW w:w="759"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tcW w:w="126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重型堆垛架</w:t>
            </w:r>
            <w:r/>
          </w:p>
        </w:tc>
        <w:tc>
          <w:tcPr>
            <w:tcW w:w="5370" w:type="dxa"/>
            <w:vAlign w:val="center"/>
            <w:textDirection w:val="lrTb"/>
            <w:noWrap w:val="false"/>
          </w:tcPr>
          <w:p>
            <w:pPr>
              <w:numPr>
                <w:ilvl w:val="0"/>
                <w:numId w:val="0"/>
              </w:numPr>
              <w:jc w:val="left"/>
              <w:keepLines w:val="0"/>
              <w:keepNext w:val="0"/>
              <w:pageBreakBefore w:val="0"/>
              <w:spacing w:after="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lang w:val="en-US" w:eastAsia="zh-CN" w:bidi="ar"/>
              </w:rPr>
              <w:t xml:space="preserve">1、</w:t>
            </w:r>
            <w:r>
              <w:rPr>
                <w:rFonts w:hint="eastAsia" w:ascii="宋体" w:hAnsi="宋体" w:eastAsia="宋体" w:cs="宋体"/>
                <w:b w:val="0"/>
                <w:bCs w:val="0"/>
                <w:i w:val="0"/>
                <w:iCs w:val="0"/>
                <w:color w:val="auto"/>
                <w:sz w:val="21"/>
                <w:szCs w:val="21"/>
                <w:u w:val="none"/>
                <w:lang w:val="en-US" w:eastAsia="zh-CN" w:bidi="ar"/>
              </w:rPr>
              <w:t xml:space="preserve">规格：L2100*D1600*H1750mm;</w:t>
            </w:r>
            <w:r/>
          </w:p>
          <w:p>
            <w:pPr>
              <w:numPr>
                <w:ilvl w:val="0"/>
                <w:numId w:val="0"/>
              </w:numPr>
              <w:jc w:val="left"/>
              <w:keepLines w:val="0"/>
              <w:keepNext w:val="0"/>
              <w:pageBreakBefore w:val="0"/>
              <w:spacing w:after="0"/>
              <w:widowControl/>
              <w:rPr>
                <w:rFonts w:hint="eastAsia" w:ascii="宋体" w:hAnsi="宋体" w:eastAsia="宋体" w:cs="宋体"/>
                <w:b w:val="0"/>
                <w:bCs w:val="0"/>
                <w:i w:val="0"/>
                <w:iCs w:val="0"/>
                <w:color w:val="auto"/>
                <w:sz w:val="21"/>
                <w:szCs w:val="21"/>
                <w:u w:val="none"/>
                <w:lang w:val="en-US" w:eastAsia="zh-CN" w:bidi="ar"/>
              </w:rPr>
              <w:suppressLineNumbers w:val="0"/>
            </w:pPr>
            <w:r>
              <w:rPr>
                <w:rFonts w:hint="eastAsia" w:ascii="宋体" w:hAnsi="宋体" w:eastAsia="宋体" w:cs="宋体"/>
                <w:b w:val="0"/>
                <w:bCs w:val="0"/>
                <w:i w:val="0"/>
                <w:iCs w:val="0"/>
                <w:color w:val="auto"/>
                <w:sz w:val="21"/>
                <w:szCs w:val="21"/>
                <w:u w:val="none"/>
                <w:lang w:val="en-US" w:eastAsia="zh-CN" w:bidi="ar"/>
              </w:rPr>
              <w:t xml:space="preserve">2、材料：立柱、底框50*50*3.0mm，底板：1.5mm, 四面防护网网格线径50*50*6.0mm,底碗100*100*H50*4.0mm,2100mm方向正上下开门，底部加2个叉车套；</w:t>
            </w:r>
            <w:r/>
          </w:p>
          <w:p>
            <w:pPr>
              <w:numPr>
                <w:ilvl w:val="0"/>
                <w:numId w:val="0"/>
              </w:numPr>
              <w:jc w:val="left"/>
              <w:keepLines w:val="0"/>
              <w:keepNext w:val="0"/>
              <w:pageBreakBefore w:val="0"/>
              <w:spacing w:after="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3、承载：1500KG/个，上下可以堆垛3层，底部要求承载可以达到4.5吨。</w:t>
            </w:r>
            <w:r/>
          </w:p>
        </w:tc>
        <w:tc>
          <w:tcPr>
            <w:tcW w:w="90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66</w:t>
            </w:r>
            <w:r/>
          </w:p>
        </w:tc>
        <w:tc>
          <w:tcPr>
            <w:tcW w:w="90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个</w:t>
            </w:r>
            <w:r/>
          </w:p>
        </w:tc>
        <w:tc>
          <w:tcPr>
            <w:tcW w:w="776" w:type="dxa"/>
            <w:vAlign w:val="center"/>
            <w:textDirection w:val="lrTb"/>
            <w:noWrap w:val="false"/>
          </w:tcPr>
          <w:p>
            <w:pPr>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r>
      <w:tr>
        <w:trPr>
          <w:trHeight w:val="1344"/>
        </w:trPr>
        <w:tc>
          <w:tcPr>
            <w:tcW w:w="759"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tcW w:w="126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仓储笼</w:t>
            </w:r>
            <w:r/>
          </w:p>
        </w:tc>
        <w:tc>
          <w:tcPr>
            <w:tcW w:w="5370" w:type="dxa"/>
            <w:vAlign w:val="center"/>
            <w:textDirection w:val="lrTb"/>
            <w:noWrap w:val="false"/>
          </w:tcPr>
          <w:p>
            <w:pPr>
              <w:jc w:val="left"/>
              <w:keepLines w:val="0"/>
              <w:keepNext w:val="0"/>
              <w:pageBreakBefore w:val="0"/>
              <w:spacing w:after="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1、尺寸：L1600*D1600mm*H1450；                                                                     </w:t>
            </w:r>
            <w:r>
              <w:rPr>
                <w:rFonts w:hint="eastAsia" w:ascii="宋体" w:hAnsi="宋体" w:eastAsia="宋体" w:cs="宋体"/>
                <w:b w:val="0"/>
                <w:bCs w:val="0"/>
                <w:i w:val="0"/>
                <w:iCs w:val="0"/>
                <w:color w:val="auto"/>
                <w:sz w:val="21"/>
                <w:szCs w:val="21"/>
                <w:u w:val="none"/>
                <w:lang w:val="en-US" w:eastAsia="zh-CN" w:bidi="ar"/>
              </w:rPr>
              <w:t xml:space="preserve">2、材料：网目：50*50mm、丝径6.0mm,底部6个脚；                                                               3、承载：500KG/个，上下可以堆垛3层，底部要求承载可以达到1.5吨，表面镀锌处理。</w:t>
            </w:r>
            <w:r/>
          </w:p>
        </w:tc>
        <w:tc>
          <w:tcPr>
            <w:tcW w:w="90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20</w:t>
            </w:r>
            <w:r/>
          </w:p>
        </w:tc>
        <w:tc>
          <w:tcPr>
            <w:tcW w:w="90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个</w:t>
            </w:r>
            <w:r/>
          </w:p>
        </w:tc>
        <w:tc>
          <w:tcPr>
            <w:tcW w:w="776" w:type="dxa"/>
            <w:vAlign w:val="center"/>
            <w:textDirection w:val="lrTb"/>
            <w:noWrap w:val="false"/>
          </w:tcPr>
          <w:p>
            <w:pPr>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r>
      <w:tr>
        <w:trPr>
          <w:trHeight w:val="1653"/>
        </w:trPr>
        <w:tc>
          <w:tcPr>
            <w:tcW w:w="759"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w:t>
            </w:r>
            <w:r/>
          </w:p>
        </w:tc>
        <w:tc>
          <w:tcPr>
            <w:tcW w:w="126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塑料托盘</w:t>
            </w:r>
            <w:r/>
          </w:p>
        </w:tc>
        <w:tc>
          <w:tcPr>
            <w:tcW w:w="5370" w:type="dxa"/>
            <w:vAlign w:val="center"/>
            <w:textDirection w:val="lrTb"/>
            <w:noWrap w:val="false"/>
          </w:tcPr>
          <w:p>
            <w:pPr>
              <w:jc w:val="left"/>
              <w:keepLines w:val="0"/>
              <w:keepNext w:val="0"/>
              <w:pageBreakBefore w:val="0"/>
              <w:spacing w:after="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1、规格：L1200mm*W1000mm*H150mm。长宽高尺寸误差及对角线长度误差符合国家标准规定，额定载荷（包括托盘）≥1500KG（可上架）；</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2、托盘四向进叉，承载面为网格川字，底部支脚为防滑平面型；</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1095</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个</w:t>
            </w:r>
            <w:r/>
          </w:p>
        </w:tc>
        <w:tc>
          <w:tcPr>
            <w:tcW w:w="776" w:type="dxa"/>
            <w:vAlign w:val="center"/>
            <w:textDirection w:val="lrTb"/>
            <w:noWrap w:val="false"/>
          </w:tcPr>
          <w:p>
            <w:pPr>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rPr>
            </w:r>
            <w:r/>
          </w:p>
        </w:tc>
      </w:tr>
      <w:tr>
        <w:trPr>
          <w:trHeight w:val="1055"/>
        </w:trPr>
        <w:tc>
          <w:tcPr>
            <w:tcW w:w="759" w:type="dxa"/>
            <w:vAlign w:val="center"/>
            <w:textDirection w:val="lrTb"/>
            <w:noWrap w:val="false"/>
          </w:tcPr>
          <w:p>
            <w:pPr>
              <w:jc w:val="center"/>
              <w:keepLines w:val="0"/>
              <w:keepNext w:val="0"/>
              <w:pageBreakBefore w:val="0"/>
              <w:spacing w:after="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4</w:t>
            </w:r>
            <w:r/>
          </w:p>
        </w:tc>
        <w:tc>
          <w:tcPr>
            <w:tcW w:w="1260" w:type="dxa"/>
            <w:vAlign w:val="center"/>
            <w:textDirection w:val="lrTb"/>
            <w:noWrap/>
          </w:tcPr>
          <w:p>
            <w:pPr>
              <w:jc w:val="center"/>
              <w:keepLines w:val="0"/>
              <w:keepNext w:val="0"/>
              <w:pageBreakBefore w:val="0"/>
              <w:spacing w:after="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电动平衡重式叉车</w:t>
            </w:r>
            <w:r/>
          </w:p>
        </w:tc>
        <w:tc>
          <w:tcPr>
            <w:tcW w:w="5370" w:type="dxa"/>
            <w:vAlign w:val="center"/>
            <w:textDirection w:val="lrTb"/>
            <w:noWrap w:val="false"/>
          </w:tcPr>
          <w:p>
            <w:pPr>
              <w:jc w:val="left"/>
              <w:keepLines w:val="0"/>
              <w:keepNext w:val="0"/>
              <w:pageBreakBefore w:val="0"/>
              <w:spacing w:after="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蓄电池平衡重式叉车，叉重3吨，提升高度≥4000mm，1.5米货叉。</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辆</w:t>
            </w:r>
            <w:r/>
          </w:p>
        </w:tc>
        <w:tc>
          <w:tcPr>
            <w:tcW w:w="77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4722"/>
        </w:trPr>
        <w:tc>
          <w:tcPr>
            <w:tcW w:w="759"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w:t>
            </w:r>
            <w:r/>
          </w:p>
        </w:tc>
        <w:tc>
          <w:tcPr>
            <w:tcW w:w="126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扫地机</w:t>
            </w:r>
            <w:r/>
          </w:p>
        </w:tc>
        <w:tc>
          <w:tcPr>
            <w:tcW w:w="5370" w:type="dxa"/>
            <w:vAlign w:val="center"/>
            <w:textDirection w:val="lrTb"/>
            <w:noWrap w:val="false"/>
          </w:tcPr>
          <w:p>
            <w:pPr>
              <w:jc w:val="left"/>
              <w:keepLines w:val="0"/>
              <w:keepNext w:val="0"/>
              <w:pageBreakBefore w:val="0"/>
              <w:spacing w:after="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 ‌基础参数‌</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‌电池 48V 45Ah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工作效率 6000㎡/h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作业时间 3h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主刷宽度 530mm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边刷直径 500mm*4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清扫宽度 1300mm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垃圾箱 120L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水箱 30L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前进速度 0-8 km/h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爬坡度 20%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外形尺寸 1550*1300*1160mm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净重 300Kg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边刷/主刷升降 电动 </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滤芯清理 电动 </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台</w:t>
            </w:r>
            <w:r/>
          </w:p>
        </w:tc>
        <w:tc>
          <w:tcPr>
            <w:tcW w:w="77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4180"/>
        </w:trPr>
        <w:tc>
          <w:tcPr>
            <w:tcW w:w="759"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6</w:t>
            </w:r>
            <w:r/>
          </w:p>
        </w:tc>
        <w:tc>
          <w:tcPr>
            <w:tcW w:w="126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除湿机</w:t>
            </w:r>
            <w:r/>
          </w:p>
        </w:tc>
        <w:tc>
          <w:tcPr>
            <w:tcW w:w="5370" w:type="dxa"/>
            <w:vAlign w:val="center"/>
            <w:textDirection w:val="lrTb"/>
            <w:noWrap w:val="false"/>
          </w:tcPr>
          <w:p>
            <w:pPr>
              <w:jc w:val="left"/>
              <w:keepLines w:val="0"/>
              <w:keepNext w:val="0"/>
              <w:pageBreakBefore w:val="0"/>
              <w:spacing w:after="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 ‌核心参数‌</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‌名义除湿量‌：20kg/h（30℃/80%RH工况）</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‌适用面积‌：550~800㎡（层高2.6~3米）</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‌电源规格‌：380V/50Hz（三相电）</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‌额定功率‌：8400W~10500W（不同工况下差异）</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2. ‌结构设计‌</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‌压缩机类型‌：浇封防爆压缩机（防爆机型适用）</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‌循环风量‌：5000~6000m³/h</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‌排水方式‌：软管直排或水箱（容量≥85L）</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3. ‌功能特性‌</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‌控制精度‌：湿度调节范围10%~98%RH，精度±3%RH</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‌安全认证‌：需通过3C、CE、GS等认证（防爆机型需国家防爆认证）</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台</w:t>
            </w:r>
            <w:r/>
          </w:p>
        </w:tc>
        <w:tc>
          <w:tcPr>
            <w:tcW w:w="77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1560"/>
        </w:trPr>
        <w:tc>
          <w:tcPr>
            <w:tcW w:w="759"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7</w:t>
            </w:r>
            <w:r/>
          </w:p>
        </w:tc>
        <w:tc>
          <w:tcPr>
            <w:tcW w:w="126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手动液压托盘车</w:t>
            </w:r>
            <w:r/>
          </w:p>
        </w:tc>
        <w:tc>
          <w:tcPr>
            <w:tcW w:w="5370" w:type="dxa"/>
            <w:vAlign w:val="center"/>
            <w:textDirection w:val="lrTb"/>
            <w:noWrap w:val="false"/>
          </w:tcPr>
          <w:p>
            <w:pPr>
              <w:jc w:val="left"/>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技术要求1.顿定发重量:1000kg~2500kg.</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2.载荷中心:1.0Sm.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3.货叉长度&gt;1.Sm.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4.货又升降范园:15m~200mm.5.最大提升高度:200ma.6.其他技术要求应满足与该设备相关的国家和企业标准。</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辆</w:t>
            </w:r>
            <w:r/>
          </w:p>
        </w:tc>
        <w:tc>
          <w:tcPr>
            <w:tcW w:w="77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5140"/>
        </w:trPr>
        <w:tc>
          <w:tcPr>
            <w:tcW w:w="759"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8</w:t>
            </w:r>
            <w:r/>
          </w:p>
        </w:tc>
        <w:tc>
          <w:tcPr>
            <w:tcW w:w="126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全静音手推车</w:t>
            </w:r>
            <w:r/>
          </w:p>
        </w:tc>
        <w:tc>
          <w:tcPr>
            <w:tcW w:w="5370" w:type="dxa"/>
            <w:vAlign w:val="center"/>
            <w:textDirection w:val="lrTb"/>
            <w:noWrap w:val="false"/>
          </w:tcPr>
          <w:p>
            <w:pPr>
              <w:jc w:val="left"/>
              <w:keepLines w:val="0"/>
              <w:keepNext w:val="0"/>
              <w:pageBreakBefore w:val="0"/>
              <w:spacing w:after="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 ‌基础参数‌</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‌额定载重‌：300kg（符合JIS B8720标准）</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‌车板尺寸‌：910mm（长）×600mm（宽）×50mm（厚）</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‌车板高度‌：220mm（单层）或730mm（双层，间隔465mm）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‌扶手高度‌：890~920mm（可折叠或固定式）</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2. ‌结构要求‌</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‌车板材质‌：抗冲击改性PP塑料，需通过4倍额定承重测试（1200kg），弯曲变形&lt;7mm且15分钟内恢复</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‌脚轮规格‌：直径130mm，静音橡胶轮，需通过10km连续行走测试（4km/h匀速）</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‌扶手强度‌：需承受6倍启动力（96kg）测试1分钟，无变形或松动</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3. ‌性能标准‌</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‌静音性‌：符合国家标准，走行无声、轻快</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‌启动力‌：≤16kg（300kg载重时）</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辆</w:t>
            </w:r>
            <w:r/>
          </w:p>
        </w:tc>
        <w:tc>
          <w:tcPr>
            <w:tcW w:w="77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960"/>
        </w:trPr>
        <w:tc>
          <w:tcPr>
            <w:tcW w:w="759"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9</w:t>
            </w:r>
            <w:r/>
          </w:p>
        </w:tc>
        <w:tc>
          <w:tcPr>
            <w:tcW w:w="126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消毒设备</w:t>
            </w:r>
            <w:r/>
          </w:p>
        </w:tc>
        <w:tc>
          <w:tcPr>
            <w:tcW w:w="5370" w:type="dxa"/>
            <w:vAlign w:val="center"/>
            <w:textDirection w:val="lrTb"/>
            <w:noWrap w:val="false"/>
          </w:tcPr>
          <w:p>
            <w:pPr>
              <w:jc w:val="left"/>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1、双开门大规格；2、消毒方式：紫外线、热风循环；3、层架承载：10KG/层。具体参数详见设计图纸及工艺设备技术要求</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台</w:t>
            </w:r>
            <w:r/>
          </w:p>
        </w:tc>
        <w:tc>
          <w:tcPr>
            <w:tcW w:w="77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920"/>
        </w:trPr>
        <w:tc>
          <w:tcPr>
            <w:tcW w:w="759"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10</w:t>
            </w:r>
            <w:r/>
          </w:p>
        </w:tc>
        <w:tc>
          <w:tcPr>
            <w:tcW w:w="126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烘干设备</w:t>
            </w:r>
            <w:r/>
          </w:p>
        </w:tc>
        <w:tc>
          <w:tcPr>
            <w:tcW w:w="5370" w:type="dxa"/>
            <w:vAlign w:val="center"/>
            <w:textDirection w:val="lrTb"/>
            <w:noWrap/>
          </w:tcPr>
          <w:p>
            <w:pPr>
              <w:jc w:val="left"/>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1、加热形式：电加热。2、内胆用料：不锈钢。3、外壳用料：冷板喷塑。4、容量：100L</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台</w:t>
            </w:r>
            <w:r/>
          </w:p>
        </w:tc>
        <w:tc>
          <w:tcPr>
            <w:tcW w:w="77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600"/>
        </w:trPr>
        <w:tc>
          <w:tcPr>
            <w:tcW w:w="759"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11</w:t>
            </w:r>
            <w:r/>
          </w:p>
        </w:tc>
        <w:tc>
          <w:tcPr>
            <w:tcW w:w="126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缝补设备</w:t>
            </w:r>
            <w:r/>
          </w:p>
        </w:tc>
        <w:tc>
          <w:tcPr>
            <w:tcW w:w="5370" w:type="dxa"/>
            <w:vAlign w:val="center"/>
            <w:textDirection w:val="lrTb"/>
            <w:noWrap/>
          </w:tcPr>
          <w:p>
            <w:pPr>
              <w:jc w:val="left"/>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铜芯电机；200W功率；2.2秒/包封包速度；2000针/分缝纫速度；12000转/分电机转速</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台</w:t>
            </w:r>
            <w:r/>
          </w:p>
        </w:tc>
        <w:tc>
          <w:tcPr>
            <w:tcW w:w="77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600"/>
        </w:trPr>
        <w:tc>
          <w:tcPr>
            <w:tcW w:w="759"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12</w:t>
            </w:r>
            <w:r/>
          </w:p>
        </w:tc>
        <w:tc>
          <w:tcPr>
            <w:tcW w:w="126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维修设备</w:t>
            </w:r>
            <w:r/>
          </w:p>
        </w:tc>
        <w:tc>
          <w:tcPr>
            <w:tcW w:w="5370" w:type="dxa"/>
            <w:vAlign w:val="center"/>
            <w:textDirection w:val="lrTb"/>
            <w:noWrap/>
          </w:tcPr>
          <w:p>
            <w:pPr>
              <w:jc w:val="left"/>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覆盖日常维修常规工具</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套</w:t>
            </w:r>
            <w:r/>
          </w:p>
        </w:tc>
        <w:tc>
          <w:tcPr>
            <w:tcW w:w="77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600"/>
        </w:trPr>
        <w:tc>
          <w:tcPr>
            <w:tcW w:w="759"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13</w:t>
            </w:r>
            <w:r/>
          </w:p>
        </w:tc>
        <w:tc>
          <w:tcPr>
            <w:tcW w:w="126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遮阳布</w:t>
            </w:r>
            <w:r/>
          </w:p>
        </w:tc>
        <w:tc>
          <w:tcPr>
            <w:tcW w:w="5370" w:type="dxa"/>
            <w:vAlign w:val="center"/>
            <w:textDirection w:val="lrTb"/>
            <w:noWrap/>
          </w:tcPr>
          <w:p>
            <w:pPr>
              <w:jc w:val="left"/>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全新料聚乙烯HDPE</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56</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套</w:t>
            </w:r>
            <w:r/>
          </w:p>
        </w:tc>
        <w:tc>
          <w:tcPr>
            <w:tcW w:w="776"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r>
        <w:trPr>
          <w:trHeight w:val="8148"/>
        </w:trPr>
        <w:tc>
          <w:tcPr>
            <w:tcW w:w="759"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14</w:t>
            </w:r>
            <w:r/>
          </w:p>
        </w:tc>
        <w:tc>
          <w:tcPr>
            <w:tcW w:w="126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全自行式升降平台</w:t>
            </w:r>
            <w:r/>
          </w:p>
        </w:tc>
        <w:tc>
          <w:tcPr>
            <w:tcW w:w="5370" w:type="dxa"/>
            <w:vAlign w:val="center"/>
            <w:textDirection w:val="lrTb"/>
            <w:noWrap w:val="false"/>
          </w:tcPr>
          <w:p>
            <w:pPr>
              <w:jc w:val="left"/>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安全工作载荷 230kg</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延伸平台安全工作载荷 110kg</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最大工作高度(A) 6.5m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最大平台高度(B) 4.5m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整机长度(C) 1.51m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整机宽度(D) 0.80m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整机高度(围栏未折叠) 2.06m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整机高度(围栏折叠)(E) 1.45m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工作平台尺寸(长X宽(F)) 1.34m*0.75m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平台延伸尺寸(G) 0.6m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最小离地间隙(收拢状态) 0.1m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最小离地间隙(起升状态) 0.019m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轴距 1.14m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最小转弯半径(内轮) 0.25m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最小转弯半径(外轮) 1.4m</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起升电机 24v/1.3kw</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驱动电机 24V/0.4kw</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机器行驶速度(收拢状态) 3.5km/h</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机器行驶速度(起升状态) 0.8km/h</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上升/下降速度 22/32 sec</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蓄电池 2×12V/80Ah</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充电器 24v/15A</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最大爬坡能力 25%</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工作最大允许角度 X1.5°/Y3°</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轮胎 Φ254*76</w:t>
            </w:r>
            <w:r>
              <w:rPr>
                <w:rFonts w:hint="eastAsia" w:ascii="宋体" w:hAnsi="宋体" w:eastAsia="宋体" w:cs="宋体"/>
                <w:b w:val="0"/>
                <w:bCs w:val="0"/>
                <w:i w:val="0"/>
                <w:iCs w:val="0"/>
                <w:color w:val="auto"/>
                <w:sz w:val="21"/>
                <w:szCs w:val="21"/>
                <w:u w:val="none"/>
                <w:lang w:val="en-US" w:eastAsia="zh-CN" w:bidi="ar"/>
              </w:rPr>
              <w:br/>
            </w:r>
            <w:r>
              <w:rPr>
                <w:rFonts w:hint="eastAsia" w:ascii="宋体" w:hAnsi="宋体" w:eastAsia="宋体" w:cs="宋体"/>
                <w:b w:val="0"/>
                <w:bCs w:val="0"/>
                <w:i w:val="0"/>
                <w:iCs w:val="0"/>
                <w:color w:val="auto"/>
                <w:sz w:val="21"/>
                <w:szCs w:val="21"/>
                <w:u w:val="none"/>
                <w:lang w:val="en-US" w:eastAsia="zh-CN" w:bidi="ar"/>
              </w:rPr>
              <w:t xml:space="preserve">重量 1050kg</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1</w:t>
            </w:r>
            <w:r/>
          </w:p>
        </w:tc>
        <w:tc>
          <w:tcPr>
            <w:tcW w:w="900" w:type="dxa"/>
            <w:vAlign w:val="center"/>
            <w:textDirection w:val="lrTb"/>
            <w:noWrap/>
          </w:tcPr>
          <w:p>
            <w:pPr>
              <w:jc w:val="center"/>
              <w:keepLines w:val="0"/>
              <w:keepNext w:val="0"/>
              <w:pageBreakBefore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台</w:t>
            </w:r>
            <w:r/>
          </w:p>
        </w:tc>
        <w:tc>
          <w:tcPr>
            <w:tcW w:w="7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val="0"/>
                <w:i w:val="0"/>
                <w:iCs w:val="0"/>
                <w:color w:val="auto"/>
                <w:sz w:val="22"/>
                <w:szCs w:val="22"/>
                <w:highlight w:val="none"/>
                <w:u w:val="none"/>
              </w:rPr>
            </w:pPr>
            <w:r>
              <w:rPr>
                <w:rFonts w:hint="eastAsia" w:ascii="宋体" w:hAnsi="宋体" w:eastAsia="宋体" w:cs="宋体"/>
                <w:b w:val="0"/>
                <w:bCs w:val="0"/>
                <w:i w:val="0"/>
                <w:iCs w:val="0"/>
                <w:color w:val="auto"/>
                <w:sz w:val="22"/>
                <w:szCs w:val="22"/>
                <w:highlight w:val="none"/>
                <w:u w:val="none"/>
              </w:rPr>
            </w:r>
            <w:r/>
          </w:p>
        </w:tc>
      </w:tr>
    </w:tbl>
    <w:p>
      <w:pPr>
        <w:rPr>
          <w:color w:val="000000"/>
          <w:sz w:val="10"/>
          <w:szCs w:val="10"/>
          <w:highlight w:val="none"/>
        </w:rPr>
      </w:pPr>
      <w:r>
        <w:rPr>
          <w:color w:val="000000"/>
          <w:sz w:val="10"/>
          <w:szCs w:val="10"/>
          <w:highlight w:val="none"/>
        </w:rPr>
      </w:r>
      <w:r/>
    </w:p>
    <w:tbl>
      <w:tblPr>
        <w:tblStyle w:val="779"/>
        <w:tblW w:w="996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945"/>
        <w:gridCol w:w="6450"/>
        <w:gridCol w:w="645"/>
        <w:gridCol w:w="630"/>
        <w:gridCol w:w="808"/>
      </w:tblGrid>
      <w:tr>
        <w:trPr>
          <w:trHeight w:val="570"/>
        </w:trPr>
        <w:tc>
          <w:tcPr>
            <w:gridSpan w:val="6"/>
            <w:tcW w:w="9965"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2、安防监控</w:t>
            </w:r>
            <w:r/>
          </w:p>
        </w:tc>
      </w:tr>
      <w:tr>
        <w:trPr>
          <w:trHeight w:val="270"/>
        </w:trPr>
        <w:tc>
          <w:tcPr>
            <w:tcW w:w="48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tcW w:w="9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物品名称</w:t>
            </w:r>
            <w:r/>
          </w:p>
        </w:tc>
        <w:tc>
          <w:tcPr>
            <w:tcW w:w="645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 数</w:t>
            </w:r>
            <w:r/>
          </w:p>
        </w:tc>
        <w:tc>
          <w:tcPr>
            <w:tcW w:w="6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tcW w:w="63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tcW w:w="80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p>
        </w:tc>
      </w:tr>
      <w:tr>
        <w:trPr>
          <w:trHeight w:val="2195"/>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945"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监控摄像头</w:t>
            </w:r>
            <w:r/>
          </w:p>
        </w:tc>
        <w:tc>
          <w:tcPr>
            <w:tcW w:w="6450"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最高分辨率可达3200 × 1800 @20 fps 600万像素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支持越界侦测，区域入侵侦测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支持背光补偿，强光抑制，3D数字降噪，120 dB宽动态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支持1个RJ45 10 M/100 M自适应以太网口，1个内置麦克风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支持白光/红外双补光，红外光最远可达50 m，白光最远可达30 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符合IP66防尘防水设计，可靠性高</w:t>
            </w:r>
            <w:r/>
          </w:p>
        </w:tc>
        <w:tc>
          <w:tcPr>
            <w:tcW w:w="645"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tcW w:w="630"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80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含施工费用</w:t>
            </w:r>
            <w:r/>
          </w:p>
        </w:tc>
      </w:tr>
      <w:tr>
        <w:trPr>
          <w:trHeight w:val="5400"/>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945"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主机</w:t>
            </w:r>
            <w:r/>
          </w:p>
        </w:tc>
        <w:tc>
          <w:tcPr>
            <w:tcW w:w="6450"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Style w:val="1044"/>
                <w:rFonts w:hint="eastAsia" w:ascii="宋体" w:hAnsi="宋体" w:eastAsia="宋体" w:cs="宋体"/>
                <w:sz w:val="21"/>
                <w:szCs w:val="21"/>
                <w:lang w:val="en-US" w:eastAsia="zh-CN" w:bidi="ar"/>
              </w:rPr>
              <w:t xml:space="preserve">R系列高性能NVR，是为满足4MP及以上高清监控应用和存储需求，推出的工程项目型NVR，具有如下特性：</w:t>
            </w:r>
            <w:r>
              <w:rPr>
                <w:rStyle w:val="1044"/>
                <w:rFonts w:hint="eastAsia" w:ascii="宋体" w:hAnsi="宋体" w:eastAsia="宋体" w:cs="宋体"/>
                <w:sz w:val="21"/>
                <w:szCs w:val="21"/>
                <w:lang w:val="en-US" w:eastAsia="zh-CN" w:bidi="ar"/>
              </w:rPr>
              <w:br/>
            </w:r>
            <w:r>
              <w:rPr>
                <w:rStyle w:val="1044"/>
                <w:rFonts w:hint="eastAsia" w:ascii="宋体" w:hAnsi="宋体" w:eastAsia="宋体" w:cs="宋体"/>
                <w:sz w:val="21"/>
                <w:szCs w:val="21"/>
                <w:lang w:val="en-US" w:eastAsia="zh-CN" w:bidi="ar"/>
              </w:rPr>
              <w:t xml:space="preserve">a) 性能强劲，最大256Mbps接入带宽，12x1080P解码能力，支持满接32路4MP或16路6/8MP；</w:t>
            </w:r>
            <w:r>
              <w:rPr>
                <w:rStyle w:val="1044"/>
                <w:rFonts w:hint="eastAsia" w:ascii="宋体" w:hAnsi="宋体" w:eastAsia="宋体" w:cs="宋体"/>
                <w:sz w:val="21"/>
                <w:szCs w:val="21"/>
                <w:lang w:val="en-US" w:eastAsia="zh-CN" w:bidi="ar"/>
              </w:rPr>
              <w:br/>
            </w:r>
            <w:r>
              <w:rPr>
                <w:rStyle w:val="1044"/>
                <w:rFonts w:hint="eastAsia" w:ascii="宋体" w:hAnsi="宋体" w:eastAsia="宋体" w:cs="宋体"/>
                <w:sz w:val="21"/>
                <w:szCs w:val="21"/>
                <w:lang w:val="en-US" w:eastAsia="zh-CN" w:bidi="ar"/>
              </w:rPr>
              <w:t xml:space="preserve">b) 存储周期长，支持满配10T硬盘，全面延长录像存储时长；</w:t>
            </w:r>
            <w:r>
              <w:rPr>
                <w:rStyle w:val="1044"/>
                <w:rFonts w:hint="eastAsia" w:ascii="宋体" w:hAnsi="宋体" w:eastAsia="宋体" w:cs="宋体"/>
                <w:sz w:val="21"/>
                <w:szCs w:val="21"/>
                <w:lang w:val="en-US" w:eastAsia="zh-CN" w:bidi="ar"/>
              </w:rPr>
              <w:br/>
            </w:r>
            <w:r>
              <w:rPr>
                <w:rStyle w:val="1044"/>
                <w:rFonts w:hint="eastAsia" w:ascii="宋体" w:hAnsi="宋体" w:eastAsia="宋体" w:cs="宋体"/>
                <w:sz w:val="21"/>
                <w:szCs w:val="21"/>
                <w:lang w:val="en-US" w:eastAsia="zh-CN" w:bidi="ar"/>
              </w:rPr>
              <w:t xml:space="preserve">d）超清输出，支持HDMI 4K超清输出， HDMI/VGA同异源可配；</w:t>
            </w:r>
            <w:r>
              <w:rPr>
                <w:rStyle w:val="1044"/>
                <w:rFonts w:hint="eastAsia" w:ascii="宋体" w:hAnsi="宋体" w:eastAsia="宋体" w:cs="宋体"/>
                <w:sz w:val="21"/>
                <w:szCs w:val="21"/>
                <w:lang w:val="en-US" w:eastAsia="zh-CN" w:bidi="ar"/>
              </w:rPr>
              <w:br/>
            </w:r>
            <w:r>
              <w:rPr>
                <w:rStyle w:val="1044"/>
                <w:rFonts w:hint="eastAsia" w:ascii="宋体" w:hAnsi="宋体" w:eastAsia="宋体" w:cs="宋体"/>
                <w:sz w:val="21"/>
                <w:szCs w:val="21"/>
                <w:lang w:val="en-US" w:eastAsia="zh-CN" w:bidi="ar"/>
              </w:rPr>
              <w:t xml:space="preserve">e）平台接入简单，支持萤石、ISUP5.0以及GB28181协议，轻松实现平台接入；</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1.5U 标准机箱，支持机架安装；</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4盘位，最大支持10TB硬盘</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支持1个HDMI 4K输出 +1个VGA高清1080P输出，同/异源可切换；</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支持12路1080P解码（开启解码增强后，可提升至16路1080P解码）</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支持H.265、H.264混合解码，最大支持接入8MP高清IPC</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2个千兆网口</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16进4出报警口</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2个USB2.0接口（前置）+1个USB3.0接口（后置）</w:t>
            </w:r>
            <w:r/>
          </w:p>
        </w:tc>
        <w:tc>
          <w:tcPr>
            <w:tcW w:w="645"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630"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W w:w="80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945"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显示器</w:t>
            </w:r>
            <w:r/>
          </w:p>
        </w:tc>
        <w:tc>
          <w:tcPr>
            <w:tcW w:w="6450"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4K高清显示屏55寸</w:t>
            </w:r>
            <w:r/>
          </w:p>
        </w:tc>
        <w:tc>
          <w:tcPr>
            <w:tcW w:w="645"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630"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80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945"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操作台</w:t>
            </w:r>
            <w:r/>
          </w:p>
        </w:tc>
        <w:tc>
          <w:tcPr>
            <w:tcW w:w="6450"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长1600x宽900x高950mm，主体框架1.5MM厚，门托盘1.2MM厚，台面25MM 、E1环保免漆板</w:t>
            </w:r>
            <w:r/>
          </w:p>
        </w:tc>
        <w:tc>
          <w:tcPr>
            <w:tcW w:w="645"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630"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80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945"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tcW w:w="6450"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10TB硬盘</w:t>
            </w:r>
            <w:r/>
          </w:p>
        </w:tc>
        <w:tc>
          <w:tcPr>
            <w:tcW w:w="645"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630"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808"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945"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网线</w:t>
            </w:r>
            <w:r/>
          </w:p>
        </w:tc>
        <w:tc>
          <w:tcPr>
            <w:tcW w:w="6450"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管材.弯头，铁管，PVC.直接，软管，跳线，集中箱，水晶头.包布.扎丝等</w:t>
            </w:r>
            <w:r/>
          </w:p>
        </w:tc>
        <w:tc>
          <w:tcPr>
            <w:tcW w:w="645"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630"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批</w:t>
            </w:r>
            <w:r/>
          </w:p>
        </w:tc>
        <w:tc>
          <w:tcPr>
            <w:tcW w:w="808"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280"/>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945"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大功率射灯</w:t>
            </w:r>
            <w:r/>
          </w:p>
        </w:tc>
        <w:tc>
          <w:tcPr>
            <w:tcW w:w="6450"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Style w:val="1044"/>
                <w:rFonts w:hint="eastAsia" w:ascii="宋体" w:hAnsi="宋体" w:eastAsia="宋体" w:cs="宋体"/>
                <w:sz w:val="21"/>
                <w:szCs w:val="21"/>
                <w:lang w:val="en-US" w:eastAsia="zh-CN" w:bidi="ar"/>
              </w:rPr>
              <w:t xml:space="preserve">1. </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安全与防护要求</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电气安全</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：需符合《GB 7000.1-2015 灯具 第1部分：一般要求与试验》，涵盖绝缘、耐热、防触电等要求</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Style w:val="1044"/>
                <w:rFonts w:hint="eastAsia" w:ascii="宋体" w:hAnsi="宋体" w:eastAsia="宋体" w:cs="宋体"/>
                <w:sz w:val="21"/>
                <w:szCs w:val="21"/>
                <w:lang w:val="en-US" w:eastAsia="zh-CN" w:bidi="ar"/>
              </w:rPr>
              <w:t xml:space="preserve">防护等级</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：室外灯具需达到</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IP65及以上</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（防尘、防水）</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Style w:val="1044"/>
                <w:rFonts w:hint="eastAsia" w:ascii="宋体" w:hAnsi="宋体" w:eastAsia="宋体" w:cs="宋体"/>
                <w:sz w:val="21"/>
                <w:szCs w:val="21"/>
                <w:lang w:val="en-US" w:eastAsia="zh-CN" w:bidi="ar"/>
              </w:rPr>
              <w:t xml:space="preserve">2. </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电磁兼容性</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无线电骚扰限值</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：需满足《GB/T 17743-2021》，辐射骚扰频率范围扩展至</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300MHz~1GHz</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，传导骚扰需符合负载端子限值</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Style w:val="1044"/>
                <w:rFonts w:hint="eastAsia" w:ascii="宋体" w:hAnsi="宋体" w:eastAsia="宋体" w:cs="宋体"/>
                <w:sz w:val="21"/>
                <w:szCs w:val="21"/>
                <w:lang w:val="en-US" w:eastAsia="zh-CN" w:bidi="ar"/>
              </w:rPr>
              <w:t xml:space="preserve">3. </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性能参数</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功率与光效</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w:t>
            </w:r>
            <w:r>
              <w:rPr>
                <w:rStyle w:val="1044"/>
                <w:rFonts w:hint="eastAsia" w:ascii="宋体" w:hAnsi="宋体" w:eastAsia="宋体" w:cs="宋体"/>
                <w:sz w:val="21"/>
                <w:szCs w:val="21"/>
                <w:lang w:val="en-US" w:eastAsia="zh-CN" w:bidi="ar"/>
              </w:rPr>
              <w:br/>
            </w:r>
            <w:r>
              <w:rPr>
                <w:rStyle w:val="1044"/>
                <w:rFonts w:hint="eastAsia" w:ascii="宋体" w:hAnsi="宋体" w:eastAsia="宋体" w:cs="宋体"/>
                <w:sz w:val="21"/>
                <w:szCs w:val="21"/>
                <w:lang w:val="en-US" w:eastAsia="zh-CN" w:bidi="ar"/>
              </w:rPr>
              <w:t xml:space="preserve">常见功率范围：200W~7000W</w:t>
            </w:r>
            <w:r>
              <w:rPr>
                <w:rStyle w:val="1044"/>
                <w:rFonts w:hint="eastAsia" w:ascii="宋体" w:hAnsi="宋体" w:eastAsia="宋体" w:cs="宋体"/>
                <w:sz w:val="21"/>
                <w:szCs w:val="21"/>
                <w:lang w:val="en-US" w:eastAsia="zh-CN" w:bidi="ar"/>
              </w:rPr>
              <w:br/>
            </w:r>
            <w:r>
              <w:rPr>
                <w:rStyle w:val="1044"/>
                <w:rFonts w:hint="eastAsia" w:ascii="宋体" w:hAnsi="宋体" w:eastAsia="宋体" w:cs="宋体"/>
                <w:sz w:val="21"/>
                <w:szCs w:val="21"/>
                <w:lang w:val="en-US" w:eastAsia="zh-CN" w:bidi="ar"/>
              </w:rPr>
              <w:t xml:space="preserve">4. </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安装与结构</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承重要求</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：轨道式安装时，单灯重量建议≤1.5kg，轨道承重上限10kg/m</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材质</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：需耐高温（如钢化玻璃灯罩）及耐腐蚀（如铝合金外壳）</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散热设计</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：大功率LED需优化散热，避免光衰（寿命≥50,000小时）</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Style w:val="1044"/>
                <w:rFonts w:hint="eastAsia" w:ascii="宋体" w:hAnsi="宋体" w:eastAsia="宋体" w:cs="宋体"/>
                <w:sz w:val="21"/>
                <w:szCs w:val="21"/>
                <w:lang w:val="en-US" w:eastAsia="zh-CN" w:bidi="ar"/>
              </w:rPr>
              <w:t xml:space="preserve">5. </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环保与能效</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有害物质限制</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：符合《GB/T 26572-2011》，禁止含铅、汞等</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节能要求</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：LED灯具需比传统光源（如高压钠灯）节电80%以上</w:t>
            </w:r>
            <w:r>
              <w:rPr>
                <w:rFonts w:hint="eastAsia" w:ascii="宋体" w:hAnsi="宋体" w:eastAsia="宋体" w:cs="宋体"/>
                <w:i w:val="0"/>
                <w:iCs w:val="0"/>
                <w:color w:val="000000"/>
                <w:sz w:val="21"/>
                <w:szCs w:val="21"/>
                <w:u w:val="none"/>
                <w:lang w:val="en-US" w:eastAsia="zh-CN" w:bidi="ar"/>
              </w:rPr>
              <w:t xml:space="preserve">‌</w:t>
            </w:r>
            <w:r/>
          </w:p>
        </w:tc>
        <w:tc>
          <w:tcPr>
            <w:tcW w:w="645"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630"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808"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310"/>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945"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锂电池风力灭火器</w:t>
            </w:r>
            <w:r/>
          </w:p>
        </w:tc>
        <w:tc>
          <w:tcPr>
            <w:tcW w:w="6450"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Style w:val="1044"/>
                <w:rFonts w:hint="eastAsia" w:ascii="宋体" w:hAnsi="宋体" w:eastAsia="宋体" w:cs="宋体"/>
                <w:sz w:val="21"/>
                <w:szCs w:val="21"/>
                <w:lang w:val="en-US" w:eastAsia="zh-CN" w:bidi="ar"/>
              </w:rPr>
              <w:t xml:space="preserve">1. </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基础参数</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型号示例</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：D类锂电池专用灭火器</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灭火级别</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：34B（针对锂电池火灾的D类灭火标准）</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容量选择</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：5kg/10kg</w:t>
            </w:r>
            <w:r>
              <w:rPr>
                <w:rStyle w:val="1044"/>
                <w:rFonts w:hint="eastAsia" w:ascii="宋体" w:hAnsi="宋体" w:eastAsia="宋体" w:cs="宋体"/>
                <w:sz w:val="21"/>
                <w:szCs w:val="21"/>
                <w:lang w:val="en-US" w:eastAsia="zh-CN" w:bidi="ar"/>
              </w:rPr>
              <w:br/>
            </w:r>
            <w:r>
              <w:rPr>
                <w:rStyle w:val="1044"/>
                <w:rFonts w:hint="eastAsia" w:ascii="宋体" w:hAnsi="宋体" w:eastAsia="宋体" w:cs="宋体"/>
                <w:sz w:val="21"/>
                <w:szCs w:val="21"/>
                <w:lang w:val="en-US" w:eastAsia="zh-CN" w:bidi="ar"/>
              </w:rPr>
              <w:t xml:space="preserve">2. </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性能参数</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喷射时间</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：8~15秒（与容量及喷嘴设计相关）</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有效喷射距离</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：2~5米（压力依赖性）</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适用温度范围</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：-20℃至+55℃（部分型号支持更广范围）</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Style w:val="1044"/>
                <w:rFonts w:hint="eastAsia" w:ascii="宋体" w:hAnsi="宋体" w:eastAsia="宋体" w:cs="宋体"/>
                <w:sz w:val="21"/>
                <w:szCs w:val="21"/>
                <w:lang w:val="en-US" w:eastAsia="zh-CN" w:bidi="ar"/>
              </w:rPr>
              <w:t xml:space="preserve">3. </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适用场景</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认证标准</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：需符合D类火灾专用灭火器的安全认证（如GB/T 4351.1-2021）</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Style w:val="1044"/>
                <w:rFonts w:hint="eastAsia" w:ascii="宋体" w:hAnsi="宋体" w:eastAsia="宋体" w:cs="宋体"/>
                <w:sz w:val="21"/>
                <w:szCs w:val="21"/>
                <w:lang w:val="en-US" w:eastAsia="zh-CN" w:bidi="ar"/>
              </w:rPr>
              <w:t xml:space="preserve">4. </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风力灭火机辅助参数</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风量要求</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：若需风力辅助灭火，参考风力灭火机参数（如出风口风量≥1800m³/h）</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有效灭火距离</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：≥2.2米（配合灭火剂使用）</w:t>
            </w:r>
            <w:r>
              <w:rPr>
                <w:rFonts w:hint="eastAsia" w:ascii="宋体" w:hAnsi="宋体" w:eastAsia="宋体" w:cs="宋体"/>
                <w:i w:val="0"/>
                <w:iCs w:val="0"/>
                <w:color w:val="000000"/>
                <w:sz w:val="21"/>
                <w:szCs w:val="21"/>
                <w:u w:val="none"/>
                <w:lang w:val="en-US" w:eastAsia="zh-CN" w:bidi="ar"/>
              </w:rPr>
              <w:t xml:space="preserve">‌</w:t>
            </w:r>
            <w:r/>
          </w:p>
        </w:tc>
        <w:tc>
          <w:tcPr>
            <w:tcW w:w="645"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630"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u w:val="none"/>
                <w:lang w:val="en-US" w:eastAsia="zh-CN" w:bidi="ar"/>
              </w:rPr>
              <w:t xml:space="preserve">台</w:t>
            </w:r>
            <w:r/>
          </w:p>
        </w:tc>
        <w:tc>
          <w:tcPr>
            <w:tcW w:w="808"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900"/>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945"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3米铝合金人字梯</w:t>
            </w:r>
            <w:r/>
          </w:p>
        </w:tc>
        <w:tc>
          <w:tcPr>
            <w:tcW w:w="6450"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Style w:val="1044"/>
                <w:rFonts w:hint="eastAsia" w:ascii="宋体" w:hAnsi="宋体" w:eastAsia="宋体" w:cs="宋体"/>
                <w:sz w:val="21"/>
                <w:szCs w:val="21"/>
                <w:lang w:val="en-US" w:eastAsia="zh-CN" w:bidi="ar"/>
              </w:rPr>
              <w:t xml:space="preserve">1. </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基础参数</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材质要求</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：6061-T6或更高强度铝合金，表面阳极氧化处理</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踏板间距</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：25-30cm（GB 12142-2020标准）</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承重能力</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：≥200kg</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Style w:val="1044"/>
                <w:rFonts w:hint="eastAsia" w:ascii="宋体" w:hAnsi="宋体" w:eastAsia="宋体" w:cs="宋体"/>
                <w:sz w:val="21"/>
                <w:szCs w:val="21"/>
                <w:lang w:val="en-US" w:eastAsia="zh-CN" w:bidi="ar"/>
              </w:rPr>
              <w:t xml:space="preserve">2. </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结构设计</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梯梁宽度</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：≥50cm</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踏板尺寸</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：横截面≥4cm×4.5cm，防滑纹路深度≥1mm</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安全锁扣</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：需配备双重关节锁或防滑撑杆</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Style w:val="1044"/>
                <w:rFonts w:hint="eastAsia" w:ascii="宋体" w:hAnsi="宋体" w:eastAsia="宋体" w:cs="宋体"/>
                <w:sz w:val="21"/>
                <w:szCs w:val="21"/>
                <w:lang w:val="en-US" w:eastAsia="zh-CN" w:bidi="ar"/>
              </w:rPr>
              <w:t xml:space="preserve">3. </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安全规范</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作业高度限制</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：实际站立高度≤梯子展开高度的2/3（如2m梯最高作业1.3m）</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防滑措施</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：底部需配置马蹄形防滑脚垫，踏板需有防滑胶条</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绝缘要求</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：电力作业需选用环氧树脂玻璃钢材质（3mm加厚）</w:t>
            </w:r>
            <w:r>
              <w:rPr>
                <w:rFonts w:hint="eastAsia" w:ascii="宋体" w:hAnsi="宋体" w:eastAsia="宋体" w:cs="宋体"/>
                <w:i w:val="0"/>
                <w:iCs w:val="0"/>
                <w:color w:val="000000"/>
                <w:sz w:val="21"/>
                <w:szCs w:val="21"/>
                <w:u w:val="none"/>
                <w:lang w:val="en-US" w:eastAsia="zh-CN" w:bidi="ar"/>
              </w:rPr>
              <w:t xml:space="preserve">‌</w:t>
            </w:r>
            <w:r/>
          </w:p>
        </w:tc>
        <w:tc>
          <w:tcPr>
            <w:tcW w:w="645"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630"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tcW w:w="808"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900"/>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945"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6米铝合金人字梯</w:t>
            </w:r>
            <w:r/>
          </w:p>
        </w:tc>
        <w:tc>
          <w:tcPr>
            <w:tcW w:w="6450"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Style w:val="1044"/>
                <w:rFonts w:hint="eastAsia" w:ascii="宋体" w:hAnsi="宋体" w:eastAsia="宋体" w:cs="宋体"/>
                <w:sz w:val="21"/>
                <w:szCs w:val="21"/>
                <w:lang w:val="en-US" w:eastAsia="zh-CN" w:bidi="ar"/>
              </w:rPr>
              <w:t xml:space="preserve">1. </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基础参数</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材质要求</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：6061-T6或更高强度铝合金，表面阳极氧化处理</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踏板间距</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：25-30cm（GB 12142-2020标准）</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承重能力</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：≥200kg</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Style w:val="1044"/>
                <w:rFonts w:hint="eastAsia" w:ascii="宋体" w:hAnsi="宋体" w:eastAsia="宋体" w:cs="宋体"/>
                <w:sz w:val="21"/>
                <w:szCs w:val="21"/>
                <w:lang w:val="en-US" w:eastAsia="zh-CN" w:bidi="ar"/>
              </w:rPr>
              <w:t xml:space="preserve">2. </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结构设计</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梯梁宽度</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：≥50cm</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踏板尺寸</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：横截面≥4cm×4.5cm，防滑纹路深度≥1mm</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安全锁扣</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：需配备双重关节锁或防滑撑杆</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Style w:val="1044"/>
                <w:rFonts w:hint="eastAsia" w:ascii="宋体" w:hAnsi="宋体" w:eastAsia="宋体" w:cs="宋体"/>
                <w:sz w:val="21"/>
                <w:szCs w:val="21"/>
                <w:lang w:val="en-US" w:eastAsia="zh-CN" w:bidi="ar"/>
              </w:rPr>
              <w:t xml:space="preserve">3. </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安全规范</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作业高度限制</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：实际站立高度≤梯子展开高度的2/3（如2m梯最高作业1.3m）</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防滑措施</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：底部需配置马蹄形防滑脚垫，踏板需有防滑胶条</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br/>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绝缘要求</w:t>
            </w:r>
            <w:r>
              <w:rPr>
                <w:rFonts w:hint="eastAsia" w:ascii="宋体" w:hAnsi="宋体" w:eastAsia="宋体" w:cs="宋体"/>
                <w:i w:val="0"/>
                <w:iCs w:val="0"/>
                <w:color w:val="000000"/>
                <w:sz w:val="21"/>
                <w:szCs w:val="21"/>
                <w:u w:val="none"/>
                <w:lang w:val="en-US" w:eastAsia="zh-CN" w:bidi="ar"/>
              </w:rPr>
              <w:t xml:space="preserve">‌</w:t>
            </w:r>
            <w:r>
              <w:rPr>
                <w:rStyle w:val="1044"/>
                <w:rFonts w:hint="eastAsia" w:ascii="宋体" w:hAnsi="宋体" w:eastAsia="宋体" w:cs="宋体"/>
                <w:sz w:val="21"/>
                <w:szCs w:val="21"/>
                <w:lang w:val="en-US" w:eastAsia="zh-CN" w:bidi="ar"/>
              </w:rPr>
              <w:t xml:space="preserve">：电力作业需选用环氧树脂玻璃钢材质（3mm加厚）</w:t>
            </w:r>
            <w:r>
              <w:rPr>
                <w:rFonts w:hint="eastAsia" w:ascii="宋体" w:hAnsi="宋体" w:eastAsia="宋体" w:cs="宋体"/>
                <w:i w:val="0"/>
                <w:iCs w:val="0"/>
                <w:color w:val="000000"/>
                <w:sz w:val="21"/>
                <w:szCs w:val="21"/>
                <w:u w:val="none"/>
                <w:lang w:val="en-US" w:eastAsia="zh-CN" w:bidi="ar"/>
              </w:rPr>
              <w:t xml:space="preserve">‌</w:t>
            </w:r>
            <w:r/>
          </w:p>
        </w:tc>
        <w:tc>
          <w:tcPr>
            <w:tcW w:w="645"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W w:w="630"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u w:val="none"/>
                <w:lang w:val="en-US" w:eastAsia="zh-CN" w:bidi="ar"/>
              </w:rPr>
              <w:t xml:space="preserve">个</w:t>
            </w:r>
            <w:r/>
          </w:p>
        </w:tc>
        <w:tc>
          <w:tcPr>
            <w:tcW w:w="80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10"/>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945"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对讲系统</w:t>
            </w:r>
            <w:r/>
          </w:p>
        </w:tc>
        <w:tc>
          <w:tcPr>
            <w:tcW w:w="6450"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发射功率≤0.5W(409-410MHZ频段.有效距离城市环境：100-500米开阔地带：1-3公里防护等级IP54.工作温度：-30℃~+60℃.电池续航：≥8小时 连续通话</w:t>
            </w:r>
            <w:r/>
          </w:p>
        </w:tc>
        <w:tc>
          <w:tcPr>
            <w:tcW w:w="645"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630"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808"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080"/>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945"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自动报警装置</w:t>
            </w:r>
            <w:r/>
          </w:p>
        </w:tc>
        <w:tc>
          <w:tcPr>
            <w:tcW w:w="6450"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防护等级：IP40；蜂鸣器音量：&gt;100dB(30cm水平方向)；光源寿命：50000小时；发光形式：常亮/闪亮/转闪(3种模式可调节)；发声形式：断续滴滴/连续滴滴/警报音(3种模式可调节)</w:t>
            </w:r>
            <w:r/>
          </w:p>
        </w:tc>
        <w:tc>
          <w:tcPr>
            <w:tcW w:w="645"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630" w:type="dxa"/>
            <w:vAlign w:val="center"/>
            <w:textDirection w:val="lrTb"/>
            <w:noWrap/>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W w:w="808"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rPr>
          <w:color w:val="000000"/>
          <w:highlight w:val="none"/>
        </w:rPr>
      </w:pPr>
      <w:r>
        <w:rPr>
          <w:color w:val="000000"/>
          <w:highlight w:val="none"/>
        </w:rPr>
      </w:r>
      <w:r/>
    </w:p>
    <w:tbl>
      <w:tblPr>
        <w:tblStyle w:val="779"/>
        <w:tblW w:w="996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945"/>
        <w:gridCol w:w="6051"/>
        <w:gridCol w:w="915"/>
        <w:gridCol w:w="759"/>
        <w:gridCol w:w="808"/>
      </w:tblGrid>
      <w:tr>
        <w:trPr>
          <w:trHeight w:val="610"/>
        </w:trPr>
        <w:tc>
          <w:tcPr>
            <w:gridSpan w:val="6"/>
            <w:tcW w:w="9965"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3、厂区内管道管线</w:t>
            </w:r>
            <w:r/>
          </w:p>
        </w:tc>
      </w:tr>
      <w:tr>
        <w:trPr>
          <w:trHeight w:val="270"/>
        </w:trPr>
        <w:tc>
          <w:tcPr>
            <w:tcW w:w="48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tcW w:w="9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物品名称</w:t>
            </w:r>
            <w:r/>
          </w:p>
        </w:tc>
        <w:tc>
          <w:tcPr>
            <w:tcW w:w="605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tcW w:w="9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tcW w:w="7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tcW w:w="80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p>
        </w:tc>
      </w:tr>
      <w:tr>
        <w:trPr>
          <w:trHeight w:val="270"/>
        </w:trPr>
        <w:tc>
          <w:tcPr>
            <w:tcW w:w="487" w:type="dxa"/>
            <w:vAlign w:val="center"/>
            <w:vMerge w:val="restart"/>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945" w:type="dxa"/>
            <w:vAlign w:val="center"/>
            <w:vMerge w:val="restart"/>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自来水管道</w:t>
            </w:r>
            <w:r/>
          </w:p>
        </w:tc>
        <w:tc>
          <w:tcPr>
            <w:tcW w:w="6051"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1、PE给水管100实壁管0.8Mpa,壁厚1.0及以上</w:t>
            </w:r>
            <w:r/>
          </w:p>
        </w:tc>
        <w:tc>
          <w:tcPr>
            <w:tcW w:w="915"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759"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0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tcW w:w="487"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45"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051"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1、PE给水管50实壁管0.8Mpa,壁厚1.0及以上</w:t>
            </w:r>
            <w:r/>
          </w:p>
        </w:tc>
        <w:tc>
          <w:tcPr>
            <w:tcW w:w="915"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759"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0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945"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充电桩管线</w:t>
            </w:r>
            <w:r/>
          </w:p>
        </w:tc>
        <w:tc>
          <w:tcPr>
            <w:tcW w:w="6051"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1、预埋镀锌钢管DN80；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2、电线规格3*6</w:t>
            </w:r>
            <w:r/>
          </w:p>
        </w:tc>
        <w:tc>
          <w:tcPr>
            <w:tcW w:w="915"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tcW w:w="759"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0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40"/>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945"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室外消防弱电</w:t>
            </w:r>
            <w:r/>
          </w:p>
        </w:tc>
        <w:tc>
          <w:tcPr>
            <w:tcW w:w="6051"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1、镀锌钢管埋地敷设，DN50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2、NH-KYJV-2*2.5，WDZN-RVS-2*2.5,NHRVSP-2*2.5</w:t>
            </w:r>
            <w:r/>
          </w:p>
        </w:tc>
        <w:tc>
          <w:tcPr>
            <w:tcW w:w="915"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tcW w:w="759"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tcW w:w="80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rPr>
          <w:color w:val="000000"/>
          <w:sz w:val="10"/>
          <w:szCs w:val="10"/>
          <w:highlight w:val="none"/>
        </w:rPr>
      </w:pPr>
      <w:r>
        <w:rPr>
          <w:color w:val="000000"/>
          <w:sz w:val="10"/>
          <w:szCs w:val="10"/>
          <w:highlight w:val="none"/>
        </w:rPr>
      </w:r>
      <w:r/>
    </w:p>
    <w:tbl>
      <w:tblPr>
        <w:tblStyle w:val="779"/>
        <w:tblW w:w="996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945"/>
        <w:gridCol w:w="6516"/>
        <w:gridCol w:w="690"/>
        <w:gridCol w:w="660"/>
        <w:gridCol w:w="667"/>
      </w:tblGrid>
      <w:tr>
        <w:trPr>
          <w:trHeight w:val="545"/>
        </w:trPr>
        <w:tc>
          <w:tcPr>
            <w:gridSpan w:val="6"/>
            <w:tcW w:w="9965"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4、出入口道闸</w:t>
            </w:r>
            <w:r/>
          </w:p>
        </w:tc>
      </w:tr>
      <w:tr>
        <w:trPr>
          <w:trHeight w:val="270"/>
        </w:trPr>
        <w:tc>
          <w:tcPr>
            <w:tcW w:w="48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tcW w:w="9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物品名称</w:t>
            </w:r>
            <w:r/>
          </w:p>
        </w:tc>
        <w:tc>
          <w:tcPr>
            <w:tcW w:w="651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tcW w:w="69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tcW w:w="6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tcW w:w="6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p>
        </w:tc>
      </w:tr>
      <w:tr>
        <w:trPr>
          <w:trHeight w:val="3240"/>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945"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电动伸缩门</w:t>
            </w:r>
            <w:r/>
          </w:p>
        </w:tc>
        <w:tc>
          <w:tcPr>
            <w:tcW w:w="6516"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1、电源参数：外接电源一般为 AC 220V±10%、50Hz-60Hz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2、电机参数：直流无刷电机，电机电压 DC 24V，额定功率60W-650W 区间，伸缩平移门的电机功率为 650W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3、运行速度：门体移动速度12-18 米/分钟。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4、环境适应参数：使用环境温度 -25℃至 +65℃之间，空气相对湿度要求小于 95%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5、遥控距离：遥控距离30-50 米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6、门体规格：门体高度常规为1600mm，门体展开宽度7米和10米，其中10米门有收纳门洞。</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7、安全防护参数：达到 IP43 或者 IP44，电机带有过热、超载保护装置，智能红外线防撞、漏电保护等功能 。</w:t>
            </w:r>
            <w:r/>
          </w:p>
        </w:tc>
        <w:tc>
          <w:tcPr>
            <w:tcW w:w="690"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660"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W w:w="6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270"/>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945"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膜结构车棚</w:t>
            </w:r>
            <w:r/>
          </w:p>
        </w:tc>
        <w:tc>
          <w:tcPr>
            <w:tcW w:w="6516" w:type="dxa"/>
            <w:vAlign w:val="center"/>
            <w:textDirection w:val="lrTb"/>
            <w:noWrap w:val="false"/>
          </w:tcPr>
          <w:p>
            <w:pPr>
              <w:jc w:val="left"/>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工字钢大梁260*100*5.5；上覆张拉膜白色1000G/㎡</w:t>
            </w:r>
            <w:r/>
          </w:p>
        </w:tc>
        <w:tc>
          <w:tcPr>
            <w:tcW w:w="690"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tcW w:w="660" w:type="dxa"/>
            <w:vAlign w:val="center"/>
            <w:textDirection w:val="lrTb"/>
            <w:noWrap w:val="false"/>
          </w:tcPr>
          <w:p>
            <w:pPr>
              <w:jc w:val="center"/>
              <w:keepLines w:val="0"/>
              <w:keepNext w:val="0"/>
              <w:pageBreakBefore w:val="0"/>
              <w:spacing w:after="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tcW w:w="6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rPr>
          <w:color w:val="000000"/>
          <w:sz w:val="10"/>
          <w:szCs w:val="10"/>
          <w:highlight w:val="none"/>
        </w:rPr>
      </w:pPr>
      <w:r>
        <w:rPr>
          <w:color w:val="000000"/>
          <w:sz w:val="10"/>
          <w:szCs w:val="10"/>
          <w:highlight w:val="none"/>
        </w:rPr>
      </w:r>
      <w:r/>
    </w:p>
    <w:tbl>
      <w:tblPr>
        <w:tblStyle w:val="779"/>
        <w:tblW w:w="996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737"/>
        <w:gridCol w:w="208"/>
        <w:gridCol w:w="5927"/>
        <w:gridCol w:w="589"/>
        <w:gridCol w:w="146"/>
        <w:gridCol w:w="544"/>
        <w:gridCol w:w="660"/>
        <w:gridCol w:w="667"/>
      </w:tblGrid>
      <w:tr>
        <w:trPr>
          <w:trHeight w:val="500"/>
        </w:trPr>
        <w:tc>
          <w:tcPr>
            <w:gridSpan w:val="9"/>
            <w:tcW w:w="9965"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5、其它费用</w:t>
            </w:r>
            <w:r/>
          </w:p>
        </w:tc>
      </w:tr>
      <w:tr>
        <w:trPr>
          <w:trHeight w:val="270"/>
        </w:trPr>
        <w:tc>
          <w:tcPr>
            <w:tcW w:w="48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序号</w:t>
            </w:r>
            <w:r/>
          </w:p>
        </w:tc>
        <w:tc>
          <w:tcPr>
            <w:gridSpan w:val="2"/>
            <w:tcW w:w="9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物品名称</w:t>
            </w:r>
            <w:r/>
          </w:p>
        </w:tc>
        <w:tc>
          <w:tcPr>
            <w:gridSpan w:val="2"/>
            <w:tcW w:w="651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参数</w:t>
            </w:r>
            <w:r/>
          </w:p>
        </w:tc>
        <w:tc>
          <w:tcPr>
            <w:gridSpan w:val="2"/>
            <w:tcW w:w="69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tcW w:w="6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tcW w:w="66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备注</w:t>
            </w:r>
            <w:r/>
          </w:p>
        </w:tc>
      </w:tr>
      <w:tr>
        <w:trPr>
          <w:trHeight w:val="4590"/>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tcW w:w="737" w:type="dxa"/>
            <w:vAlign w:val="center"/>
            <w:textDirection w:val="lrTb"/>
            <w:noWrap w:val="false"/>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路灯</w:t>
            </w:r>
            <w:r/>
          </w:p>
        </w:tc>
        <w:tc>
          <w:tcPr>
            <w:gridSpan w:val="2"/>
            <w:tcW w:w="6135" w:type="dxa"/>
            <w:vAlign w:val="center"/>
            <w:textDirection w:val="lrTb"/>
            <w:noWrap w:val="false"/>
          </w:tcPr>
          <w:p>
            <w:pPr>
              <w:jc w:val="left"/>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1、光效：根据 GB 37478-2019《道路和隧道照明用 LED 灯具能效限定值及能效等级》，光效最高要求不低于 135lm/W 。色温：4000K中性白光。</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2、显色指数：显色指数70 及以上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3、平均照度：按照《城市道路照明设计标准》CJJ45-2015 的规定，主干路照度应＞20lx，次干路＞15lx，支路＞8lx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4、均匀度：主干道照度不应小于0.4。</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 防护等级：灯具防护等级不应低于 IP65。</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 防触电等级：为Ⅰ类防触电等级。</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5、光源寿命：要求光源寿命不低于50000小时。</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6、灯杆参数</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材质与规格：灯杆材质为 Q235 钢板，壁厚在 4.0mm ，上口径约85mm，下口径约 195mm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7、抗风要求：能承受 35 米/秒或 40 米/秒的设计风速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8、防腐处理：杆体</w:t>
            </w:r>
            <w:r>
              <w:rPr>
                <w:rFonts w:hint="eastAsia" w:ascii="宋体" w:hAnsi="宋体" w:eastAsia="宋体" w:cs="宋体"/>
                <w:b w:val="0"/>
                <w:bCs w:val="0"/>
                <w:i w:val="0"/>
                <w:iCs w:val="0"/>
                <w:color w:val="auto"/>
                <w:sz w:val="21"/>
                <w:szCs w:val="21"/>
                <w:u w:val="none"/>
                <w:lang w:val="en-US" w:eastAsia="zh-CN" w:bidi="ar"/>
              </w:rPr>
              <w:t xml:space="preserve">需热浸镀</w:t>
            </w:r>
            <w:r>
              <w:rPr>
                <w:rFonts w:hint="eastAsia" w:ascii="宋体" w:hAnsi="宋体" w:eastAsia="宋体" w:cs="宋体"/>
                <w:b w:val="0"/>
                <w:bCs w:val="0"/>
                <w:i w:val="0"/>
                <w:iCs w:val="0"/>
                <w:color w:val="000000"/>
                <w:sz w:val="21"/>
                <w:szCs w:val="21"/>
                <w:u w:val="none"/>
                <w:lang w:val="en-US" w:eastAsia="zh-CN" w:bidi="ar"/>
              </w:rPr>
              <w:t xml:space="preserve">锌，镀锌层厚度要求≥75um 或≥86um，且表面需喷塑。</w:t>
            </w:r>
            <w:r/>
          </w:p>
        </w:tc>
        <w:tc>
          <w:tcPr>
            <w:gridSpan w:val="2"/>
            <w:tcW w:w="735" w:type="dxa"/>
            <w:vAlign w:val="center"/>
            <w:textDirection w:val="lrTb"/>
            <w:noWrap w:val="false"/>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16</w:t>
            </w:r>
            <w:r/>
          </w:p>
        </w:tc>
        <w:tc>
          <w:tcPr>
            <w:tcW w:w="544" w:type="dxa"/>
            <w:vAlign w:val="center"/>
            <w:textDirection w:val="lrTb"/>
            <w:noWrap w:val="false"/>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台</w:t>
            </w:r>
            <w:r/>
          </w:p>
        </w:tc>
        <w:tc>
          <w:tcPr>
            <w:gridSpan w:val="2"/>
            <w:tcW w:w="132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10"/>
        </w:trPr>
        <w:tc>
          <w:tcPr>
            <w:tcW w:w="487" w:type="dxa"/>
            <w:vAlign w:val="center"/>
            <w:textDirection w:val="lrTb"/>
            <w:noWrap w:val="false"/>
          </w:tcPr>
          <w:p>
            <w:pPr>
              <w:jc w:val="center"/>
              <w:keepLines w:val="0"/>
              <w:keepNext w:val="0"/>
              <w:pageBreakBefore w:val="0"/>
              <w:spacing w:after="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2</w:t>
            </w:r>
            <w:r/>
          </w:p>
        </w:tc>
        <w:tc>
          <w:tcPr>
            <w:tcW w:w="737" w:type="dxa"/>
            <w:vAlign w:val="center"/>
            <w:textDirection w:val="lrTb"/>
            <w:noWrap/>
          </w:tcPr>
          <w:p>
            <w:pPr>
              <w:jc w:val="center"/>
              <w:keepLines w:val="0"/>
              <w:keepNext w:val="0"/>
              <w:pageBreakBefore w:val="0"/>
              <w:spacing w:after="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耐磨地面</w:t>
            </w:r>
            <w:r/>
          </w:p>
        </w:tc>
        <w:tc>
          <w:tcPr>
            <w:gridSpan w:val="2"/>
            <w:tcW w:w="6135" w:type="dxa"/>
            <w:vAlign w:val="center"/>
            <w:textDirection w:val="lrTb"/>
            <w:noWrap w:val="false"/>
          </w:tcPr>
          <w:p>
            <w:pPr>
              <w:jc w:val="left"/>
              <w:keepLines w:val="0"/>
              <w:keepNext w:val="0"/>
              <w:pageBreakBefore w:val="0"/>
              <w:spacing w:after="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仓库地面固化处理：1、原地坪打磨清理；2.裂缝、坑洼处专用材料进行修补；3、混凝土密封固化剂材料渗透；4、带固化剂进行粗细打磨清理；5、喷洒防滑光亮剂并抛光打磨。</w:t>
            </w:r>
            <w:r/>
          </w:p>
        </w:tc>
        <w:tc>
          <w:tcPr>
            <w:gridSpan w:val="2"/>
            <w:tcW w:w="735" w:type="dxa"/>
            <w:vAlign w:val="center"/>
            <w:textDirection w:val="lrTb"/>
            <w:noWrap/>
          </w:tcPr>
          <w:p>
            <w:pPr>
              <w:jc w:val="center"/>
              <w:keepLines w:val="0"/>
              <w:keepNext w:val="0"/>
              <w:pageBreakBefore w:val="0"/>
              <w:spacing w:after="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3200</w:t>
            </w:r>
            <w:r/>
          </w:p>
        </w:tc>
        <w:tc>
          <w:tcPr>
            <w:tcW w:w="544" w:type="dxa"/>
            <w:vAlign w:val="center"/>
            <w:textDirection w:val="lrTb"/>
            <w:noWrap/>
          </w:tcPr>
          <w:p>
            <w:pPr>
              <w:jc w:val="center"/>
              <w:keepLines w:val="0"/>
              <w:keepNext w:val="0"/>
              <w:pageBreakBefore w:val="0"/>
              <w:spacing w:after="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u w:val="none"/>
                <w:lang w:val="en-US" w:eastAsia="zh-CN" w:bidi="ar"/>
              </w:rPr>
              <w:t xml:space="preserve">平方米</w:t>
            </w:r>
            <w:r/>
          </w:p>
        </w:tc>
        <w:tc>
          <w:tcPr>
            <w:gridSpan w:val="2"/>
            <w:tcW w:w="132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原墙面需保护防止污染</w:t>
            </w:r>
            <w:r/>
          </w:p>
        </w:tc>
      </w:tr>
      <w:tr>
        <w:trPr>
          <w:trHeight w:val="870"/>
        </w:trPr>
        <w:tc>
          <w:tcPr>
            <w:tcW w:w="487" w:type="dxa"/>
            <w:vAlign w:val="center"/>
            <w:vMerge w:val="restart"/>
            <w:textDirection w:val="lrTb"/>
            <w:noWrap w:val="false"/>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3</w:t>
            </w:r>
            <w:r/>
          </w:p>
        </w:tc>
        <w:tc>
          <w:tcPr>
            <w:shd w:val="clear" w:color="auto" w:fill="ffffff"/>
            <w:tcW w:w="737" w:type="dxa"/>
            <w:vAlign w:val="center"/>
            <w:vMerge w:val="restart"/>
            <w:textDirection w:val="lrTb"/>
            <w:noWrap/>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挡鼠板</w:t>
            </w:r>
            <w:r/>
          </w:p>
        </w:tc>
        <w:tc>
          <w:tcPr>
            <w:gridSpan w:val="2"/>
            <w:shd w:val="clear" w:color="auto" w:fill="ffffff"/>
            <w:tcW w:w="6135" w:type="dxa"/>
            <w:vAlign w:val="center"/>
            <w:textDirection w:val="lrTb"/>
            <w:noWrap w:val="false"/>
          </w:tcPr>
          <w:p>
            <w:pPr>
              <w:jc w:val="left"/>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1、厚度‌：一般为25mm。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2、材质选择‌：铝合金或不锈钢。 ‌‌   5.2*0.5米</w:t>
            </w:r>
            <w:r/>
          </w:p>
        </w:tc>
        <w:tc>
          <w:tcPr>
            <w:gridSpan w:val="2"/>
            <w:shd w:val="clear" w:color="auto" w:fill="ffffff"/>
            <w:tcW w:w="735" w:type="dxa"/>
            <w:vAlign w:val="center"/>
            <w:textDirection w:val="lrTb"/>
            <w:noWrap/>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shd w:val="clear" w:color="auto" w:fill="ffffff"/>
            <w:tcW w:w="544" w:type="dxa"/>
            <w:vAlign w:val="center"/>
            <w:textDirection w:val="lrTb"/>
            <w:noWrap/>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个</w:t>
            </w:r>
            <w:r/>
          </w:p>
        </w:tc>
        <w:tc>
          <w:tcPr>
            <w:gridSpan w:val="2"/>
            <w:shd w:val="clear" w:color="auto" w:fill="ffffff"/>
            <w:tcW w:w="1327"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70"/>
        </w:trPr>
        <w:tc>
          <w:tcPr>
            <w:tcW w:w="487"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7" w:type="dxa"/>
            <w:vAlign w:val="center"/>
            <w:vMerge w:val="continue"/>
            <w:textDirection w:val="lrTb"/>
            <w:noWrap/>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gridSpan w:val="2"/>
            <w:shd w:val="clear" w:color="auto" w:fill="ffffff"/>
            <w:tcW w:w="6135" w:type="dxa"/>
            <w:vAlign w:val="center"/>
            <w:textDirection w:val="lrTb"/>
            <w:noWrap w:val="false"/>
          </w:tcPr>
          <w:p>
            <w:pPr>
              <w:jc w:val="left"/>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1、厚度‌：一般为25mm。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2、材质选择‌：铝合金或不锈钢。 ‌‌   5.0*0.5米</w:t>
            </w:r>
            <w:r/>
          </w:p>
        </w:tc>
        <w:tc>
          <w:tcPr>
            <w:gridSpan w:val="2"/>
            <w:shd w:val="clear" w:color="auto" w:fill="ffffff"/>
            <w:tcW w:w="735" w:type="dxa"/>
            <w:vAlign w:val="center"/>
            <w:textDirection w:val="lrTb"/>
            <w:noWrap/>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4</w:t>
            </w:r>
            <w:r/>
          </w:p>
        </w:tc>
        <w:tc>
          <w:tcPr>
            <w:shd w:val="clear" w:color="auto" w:fill="ffffff"/>
            <w:tcW w:w="544" w:type="dxa"/>
            <w:vAlign w:val="center"/>
            <w:textDirection w:val="lrTb"/>
            <w:noWrap/>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个</w:t>
            </w:r>
            <w:r/>
          </w:p>
        </w:tc>
        <w:tc>
          <w:tcPr>
            <w:gridSpan w:val="2"/>
            <w:shd w:val="clear" w:color="auto" w:fill="ffffff"/>
            <w:tcW w:w="132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70"/>
        </w:trPr>
        <w:tc>
          <w:tcPr>
            <w:tcW w:w="487"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7" w:type="dxa"/>
            <w:vAlign w:val="center"/>
            <w:vMerge w:val="continue"/>
            <w:textDirection w:val="lrTb"/>
            <w:noWrap/>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gridSpan w:val="2"/>
            <w:shd w:val="clear" w:color="auto" w:fill="ffffff"/>
            <w:tcW w:w="6135" w:type="dxa"/>
            <w:vAlign w:val="center"/>
            <w:textDirection w:val="lrTb"/>
            <w:noWrap w:val="false"/>
          </w:tcPr>
          <w:p>
            <w:pPr>
              <w:jc w:val="left"/>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1、厚度‌：一般为25mm。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2、材质选择‌：铝合金或不锈钢。 ‌‌   2.1*0.5米</w:t>
            </w:r>
            <w:r/>
          </w:p>
        </w:tc>
        <w:tc>
          <w:tcPr>
            <w:gridSpan w:val="2"/>
            <w:shd w:val="clear" w:color="auto" w:fill="ffffff"/>
            <w:tcW w:w="735" w:type="dxa"/>
            <w:vAlign w:val="center"/>
            <w:textDirection w:val="lrTb"/>
            <w:noWrap/>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shd w:val="clear" w:color="auto" w:fill="ffffff"/>
            <w:tcW w:w="544" w:type="dxa"/>
            <w:vAlign w:val="center"/>
            <w:textDirection w:val="lrTb"/>
            <w:noWrap/>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个</w:t>
            </w:r>
            <w:r/>
          </w:p>
        </w:tc>
        <w:tc>
          <w:tcPr>
            <w:gridSpan w:val="2"/>
            <w:shd w:val="clear" w:color="auto" w:fill="ffffff"/>
            <w:tcW w:w="1327"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70"/>
        </w:trPr>
        <w:tc>
          <w:tcPr>
            <w:tcW w:w="487" w:type="dxa"/>
            <w:vAlign w:val="center"/>
            <w:vMerge w:val="continue"/>
            <w:textDirection w:val="lrTb"/>
            <w:noWrap w:val="false"/>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shd w:val="clear" w:color="auto" w:fill="ffffff"/>
            <w:tcW w:w="737" w:type="dxa"/>
            <w:vAlign w:val="center"/>
            <w:vMerge w:val="continue"/>
            <w:textDirection w:val="lrTb"/>
            <w:noWrap/>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gridSpan w:val="2"/>
            <w:shd w:val="clear" w:color="auto" w:fill="ffffff"/>
            <w:tcW w:w="6135" w:type="dxa"/>
            <w:vAlign w:val="center"/>
            <w:textDirection w:val="lrTb"/>
            <w:noWrap w:val="false"/>
          </w:tcPr>
          <w:p>
            <w:pPr>
              <w:jc w:val="left"/>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1、厚度‌：一般为25mm。 ‌‌</w:t>
            </w:r>
            <w:r>
              <w:rPr>
                <w:rFonts w:hint="eastAsia" w:ascii="宋体" w:hAnsi="宋体" w:eastAsia="宋体" w:cs="宋体"/>
                <w:b w:val="0"/>
                <w:bCs w:val="0"/>
                <w:i w:val="0"/>
                <w:iCs w:val="0"/>
                <w:color w:val="000000"/>
                <w:sz w:val="21"/>
                <w:szCs w:val="21"/>
                <w:u w:val="none"/>
                <w:lang w:val="en-US" w:eastAsia="zh-CN" w:bidi="ar"/>
              </w:rPr>
              <w:br/>
            </w:r>
            <w:r>
              <w:rPr>
                <w:rFonts w:hint="eastAsia" w:ascii="宋体" w:hAnsi="宋体" w:eastAsia="宋体" w:cs="宋体"/>
                <w:b w:val="0"/>
                <w:bCs w:val="0"/>
                <w:i w:val="0"/>
                <w:iCs w:val="0"/>
                <w:color w:val="000000"/>
                <w:sz w:val="21"/>
                <w:szCs w:val="21"/>
                <w:u w:val="none"/>
                <w:lang w:val="en-US" w:eastAsia="zh-CN" w:bidi="ar"/>
              </w:rPr>
              <w:t xml:space="preserve">2、材质选择‌：铝合金或不锈钢。 ‌‌   1.0*0.5</w:t>
            </w:r>
            <w:r/>
          </w:p>
        </w:tc>
        <w:tc>
          <w:tcPr>
            <w:gridSpan w:val="2"/>
            <w:shd w:val="clear" w:color="auto" w:fill="ffffff"/>
            <w:tcW w:w="735" w:type="dxa"/>
            <w:vAlign w:val="center"/>
            <w:textDirection w:val="lrTb"/>
            <w:noWrap/>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6</w:t>
            </w:r>
            <w:r/>
          </w:p>
        </w:tc>
        <w:tc>
          <w:tcPr>
            <w:shd w:val="clear" w:color="auto" w:fill="ffffff"/>
            <w:tcW w:w="544" w:type="dxa"/>
            <w:vAlign w:val="center"/>
            <w:textDirection w:val="lrTb"/>
            <w:noWrap/>
          </w:tcPr>
          <w:p>
            <w:pPr>
              <w:jc w:val="center"/>
              <w:keepLines w:val="0"/>
              <w:keepNext w:val="0"/>
              <w:pageBreakBefore w:val="0"/>
              <w:spacing w:after="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个</w:t>
            </w:r>
            <w:r/>
          </w:p>
        </w:tc>
        <w:tc>
          <w:tcPr>
            <w:gridSpan w:val="2"/>
            <w:shd w:val="clear" w:color="auto" w:fill="ffffff"/>
            <w:tcW w:w="1327" w:type="dxa"/>
            <w:vAlign w:val="center"/>
            <w:textDirection w:val="lrTb"/>
            <w:noWrap/>
          </w:tcPr>
          <w:p>
            <w:pPr>
              <w:jc w:val="center"/>
              <w:keepLines w:val="0"/>
              <w:keepNext w:val="0"/>
              <w:pageBreakBefore w:val="0"/>
              <w:spacing w:after="0" w:line="240" w:lineRule="auto"/>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ind w:firstLine="482"/>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32"/>
        <w:ind w:left="0" w:right="0" w:firstLine="482"/>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b/>
          <w:bCs/>
          <w:color w:val="000000"/>
          <w:sz w:val="24"/>
          <w:szCs w:val="24"/>
          <w:highlight w:val="none"/>
          <w:lang w:eastAsia="zh-CN"/>
        </w:rPr>
        <w:t xml:space="preserve">三</w:t>
      </w:r>
      <w:r>
        <w:rPr>
          <w:rFonts w:ascii="Times New Roman" w:hAnsi="Times New Roman" w:cs="Times New Roman"/>
          <w:b/>
          <w:bCs/>
          <w:color w:val="000000"/>
          <w:sz w:val="24"/>
          <w:szCs w:val="24"/>
          <w:highlight w:val="none"/>
        </w:rPr>
        <w:t xml:space="preserve">、产品质量要求</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投标人应保证货物是全新、未使用过的原厂合格产品，并完全符合招标文件</w:t>
      </w:r>
      <w:r>
        <w:rPr>
          <w:rFonts w:hint="eastAsia" w:ascii="宋体" w:hAnsi="宋体" w:eastAsia="宋体" w:cs="宋体"/>
          <w:color w:val="000000"/>
          <w:sz w:val="24"/>
          <w:szCs w:val="24"/>
          <w:highlight w:val="none"/>
          <w:lang w:eastAsia="zh-CN"/>
        </w:rPr>
        <w:t xml:space="preserve">及投标文件</w:t>
      </w:r>
      <w:r>
        <w:rPr>
          <w:rFonts w:hint="eastAsia" w:ascii="宋体" w:hAnsi="宋体" w:eastAsia="宋体" w:cs="宋体"/>
          <w:color w:val="000000"/>
          <w:sz w:val="24"/>
          <w:szCs w:val="24"/>
          <w:highlight w:val="none"/>
        </w:rPr>
        <w:t xml:space="preserve">规定的质量、规格和参数的要求。验收过程中发现产品不符合上述要求的，将视作不合格产品，采购人有权终止合同，造成的一切损失由投标人承担。 </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投标产品的技术标准按国家标准执行，无国家标准的，按行业标准执行，无国家和行业标准的，按企业标准执行；但在招标文件中有特别要求的，按招标文件中规定的要求执行，并且符合相关法律、法规规定的要求。</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3.产品的包装，国家或行业主管部门有规定的，按规定执行。</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4.投标人应保证提供的产品不得侵犯第三方专利权、商标权和设计权、版权等。否则，投标人应负全部责任，并承担由此引起的一切后果。</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5.投标人应保证其货物在正确安装、正常使用下，在其使用寿命期内应具有满意的性能。</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6.投标人应采取必要的安全措施保证货物的运输及安装的安全，并承担货物的运输及安装过程中产生的风险。</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7.投标人必须保证所提供的产品符合国家相应质量要求。</w:t>
      </w:r>
      <w:r/>
    </w:p>
    <w:p>
      <w:pPr>
        <w:pStyle w:val="87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3"/>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eastAsia="zh-CN"/>
        </w:rPr>
        <w:t xml:space="preserve">投标人</w:t>
      </w:r>
      <w:r>
        <w:rPr>
          <w:rFonts w:hint="eastAsia" w:ascii="宋体" w:hAnsi="宋体" w:eastAsia="宋体" w:cs="宋体"/>
          <w:b w:val="0"/>
          <w:bCs/>
          <w:color w:val="000000"/>
          <w:sz w:val="24"/>
          <w:szCs w:val="24"/>
          <w:highlight w:val="none"/>
          <w:lang w:val="en-US" w:eastAsia="zh-CN" w:bidi="ar-SA"/>
        </w:rPr>
        <w:t xml:space="preserve">负责装卸车、货物现场的搬运，保管、看护进场的货物及附配件，对货物安</w:t>
      </w:r>
      <w:r>
        <w:rPr>
          <w:rFonts w:hint="eastAsia" w:ascii="宋体" w:hAnsi="宋体" w:eastAsia="宋体" w:cs="宋体"/>
          <w:color w:val="000000"/>
          <w:sz w:val="24"/>
          <w:szCs w:val="24"/>
          <w:highlight w:val="none"/>
          <w:lang w:val="en-US" w:eastAsia="zh-CN" w:bidi="ar-SA"/>
        </w:rPr>
        <w:t xml:space="preserve">装（工具）等提供适当的保护、包装或覆盖等处理，以免受损。</w:t>
      </w:r>
      <w:r/>
    </w:p>
    <w:p>
      <w:pPr>
        <w:pStyle w:val="832"/>
        <w:ind w:left="0" w:firstLine="480"/>
        <w:jc w:val="both"/>
        <w:keepLines w:val="0"/>
        <w:keepNext w:val="0"/>
        <w:spacing w:before="0" w:beforeAutospacing="0" w:after="0" w:afterAutospacing="0" w:line="360" w:lineRule="auto"/>
        <w:widowControl w:val="off"/>
        <w:rPr>
          <w:rFonts w:hint="eastAsia"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lang w:val="en-US" w:eastAsia="en-US" w:bidi="ar-SA"/>
        </w:rPr>
        <w:t xml:space="preserve">投标人安装调试时采取必要的安全措施，如有意外或事故发生，由中标人（合同卖方）负全部责任</w:t>
      </w:r>
      <w:r>
        <w:rPr>
          <w:rFonts w:hint="eastAsia" w:eastAsia="宋体" w:cs="宋体"/>
          <w:color w:val="000000"/>
          <w:sz w:val="24"/>
          <w:szCs w:val="24"/>
          <w:highlight w:val="none"/>
          <w:lang w:val="en-US" w:eastAsia="zh-CN" w:bidi="ar-SA"/>
        </w:rPr>
        <w:t xml:space="preserve">。</w:t>
      </w:r>
      <w:r/>
    </w:p>
    <w:p>
      <w:pPr>
        <w:pStyle w:val="832"/>
        <w:ind w:left="0" w:firstLine="480"/>
        <w:jc w:val="both"/>
        <w:keepLines w:val="0"/>
        <w:keepNext w:val="0"/>
        <w:spacing w:before="0" w:beforeAutospacing="0" w:after="0" w:afterAutospacing="0" w:line="360" w:lineRule="auto"/>
        <w:widowControl w:val="off"/>
        <w:rPr>
          <w:rFonts w:hint="eastAsia"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10.</w:t>
      </w:r>
      <w:r>
        <w:rPr>
          <w:rFonts w:hint="eastAsia" w:eastAsia="宋体" w:cs="宋体"/>
          <w:color w:val="000000"/>
          <w:sz w:val="24"/>
          <w:szCs w:val="24"/>
          <w:highlight w:val="none"/>
          <w:lang w:val="en-US" w:eastAsia="zh-CN" w:bidi="ar-SA"/>
        </w:rPr>
        <w:t xml:space="preserve">中标后</w:t>
      </w:r>
      <w:r>
        <w:rPr>
          <w:rFonts w:hint="eastAsia" w:ascii="宋体" w:hAnsi="宋体" w:eastAsia="宋体" w:cs="宋体"/>
          <w:color w:val="000000"/>
          <w:sz w:val="24"/>
          <w:szCs w:val="24"/>
          <w:highlight w:val="none"/>
          <w:lang w:val="en-US" w:eastAsia="zh-CN" w:bidi="ar-SA"/>
        </w:rPr>
        <w:t xml:space="preserve">产品须</w:t>
      </w:r>
      <w:r>
        <w:rPr>
          <w:rFonts w:hint="eastAsia" w:eastAsia="宋体" w:cs="宋体"/>
          <w:color w:val="000000"/>
          <w:sz w:val="24"/>
          <w:szCs w:val="24"/>
          <w:highlight w:val="none"/>
          <w:lang w:val="en-US" w:eastAsia="zh-CN" w:bidi="ar-SA"/>
        </w:rPr>
        <w:t xml:space="preserve">根据“</w:t>
      </w:r>
      <w:r>
        <w:rPr>
          <w:rFonts w:hint="eastAsia" w:eastAsia="宋体" w:cs="宋体"/>
          <w:color w:val="000000"/>
          <w:sz w:val="24"/>
          <w:szCs w:val="24"/>
          <w:highlight w:val="none"/>
          <w:lang w:val="en-US" w:eastAsia="en-US" w:bidi="ar-SA"/>
        </w:rPr>
        <w:t xml:space="preserve">采购清单及</w:t>
      </w:r>
      <w:r>
        <w:rPr>
          <w:rFonts w:hint="eastAsia" w:eastAsia="宋体" w:cs="宋体"/>
          <w:color w:val="000000"/>
          <w:sz w:val="24"/>
          <w:szCs w:val="24"/>
          <w:highlight w:val="none"/>
          <w:lang w:val="en-US" w:eastAsia="zh-CN" w:bidi="ar-SA"/>
        </w:rPr>
        <w:t xml:space="preserve">采购需求”，提</w:t>
      </w:r>
      <w:r>
        <w:rPr>
          <w:rFonts w:hint="eastAsia" w:ascii="宋体" w:hAnsi="宋体" w:eastAsia="宋体" w:cs="宋体"/>
          <w:color w:val="000000"/>
          <w:sz w:val="24"/>
          <w:szCs w:val="24"/>
          <w:highlight w:val="none"/>
          <w:lang w:val="en-US" w:eastAsia="zh-CN" w:bidi="ar-SA"/>
        </w:rPr>
        <w:t xml:space="preserve">供国家批准的第三方检测机构出具的带有CMA或CNAS标志的检测报告复印件并加盖</w:t>
      </w:r>
      <w:r>
        <w:rPr>
          <w:rFonts w:hint="eastAsia" w:eastAsia="宋体" w:cs="宋体"/>
          <w:color w:val="000000"/>
          <w:sz w:val="24"/>
          <w:szCs w:val="24"/>
          <w:highlight w:val="none"/>
          <w:lang w:val="en-US" w:eastAsia="zh-CN" w:bidi="ar-SA"/>
        </w:rPr>
        <w:t xml:space="preserve">生产企业</w:t>
      </w:r>
      <w:r>
        <w:rPr>
          <w:rFonts w:hint="eastAsia" w:ascii="宋体" w:hAnsi="宋体" w:eastAsia="宋体" w:cs="宋体"/>
          <w:color w:val="000000"/>
          <w:sz w:val="24"/>
          <w:szCs w:val="24"/>
          <w:highlight w:val="none"/>
          <w:lang w:val="en-US" w:eastAsia="zh-CN" w:bidi="ar-SA"/>
        </w:rPr>
        <w:t xml:space="preserve">鲜章</w:t>
      </w:r>
      <w:r>
        <w:rPr>
          <w:rFonts w:hint="eastAsia" w:eastAsia="宋体" w:cs="宋体"/>
          <w:color w:val="000000"/>
          <w:sz w:val="24"/>
          <w:szCs w:val="24"/>
          <w:highlight w:val="none"/>
          <w:lang w:val="en-US" w:eastAsia="zh-CN" w:bidi="ar-SA"/>
        </w:rPr>
        <w:t xml:space="preserve">。</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eastAsia="zh-CN"/>
        </w:rPr>
        <w:t xml:space="preserve">四</w:t>
      </w:r>
      <w:r>
        <w:rPr>
          <w:rFonts w:hint="eastAsia" w:ascii="宋体" w:hAnsi="宋体" w:eastAsia="宋体" w:cs="宋体"/>
          <w:b/>
          <w:bCs/>
          <w:color w:val="000000"/>
          <w:sz w:val="24"/>
          <w:szCs w:val="24"/>
          <w:highlight w:val="none"/>
        </w:rPr>
        <w:t xml:space="preserve">、验收</w:t>
      </w:r>
      <w:r/>
    </w:p>
    <w:p>
      <w:pPr>
        <w:pStyle w:val="832"/>
        <w:ind w:left="0" w:firstLine="482"/>
        <w:jc w:val="both"/>
        <w:keepLines w:val="0"/>
        <w:keepNext w:val="0"/>
        <w:spacing w:before="0" w:beforeAutospacing="0" w:after="0" w:afterAutospacing="0" w:line="360" w:lineRule="auto"/>
        <w:widowControl w:val="off"/>
        <w:rPr>
          <w:rFonts w:hint="eastAsia"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在接到中标人以书面形式提出验收申请后，在</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个工作日内及时组织相关专业技术人员，</w:t>
      </w:r>
      <w:r>
        <w:rPr>
          <w:rFonts w:hint="eastAsia" w:ascii="宋体" w:hAnsi="宋体" w:eastAsia="宋体" w:cs="宋体"/>
          <w:color w:val="000000"/>
          <w:sz w:val="24"/>
          <w:szCs w:val="24"/>
          <w:highlight w:val="none"/>
          <w:lang w:eastAsia="zh-CN"/>
        </w:rPr>
        <w:t xml:space="preserve">对所有设备进行试运行，</w:t>
      </w:r>
      <w:r>
        <w:rPr>
          <w:rFonts w:hint="eastAsia" w:eastAsia="宋体" w:cs="宋体"/>
          <w:color w:val="000000"/>
          <w:sz w:val="24"/>
          <w:szCs w:val="24"/>
          <w:highlight w:val="none"/>
          <w:lang w:eastAsia="zh-CN"/>
        </w:rPr>
        <w:t xml:space="preserve">时间为</w:t>
      </w:r>
      <w:r>
        <w:rPr>
          <w:rFonts w:hint="eastAsia" w:eastAsia="宋体" w:cs="宋体"/>
          <w:color w:val="000000"/>
          <w:sz w:val="24"/>
          <w:szCs w:val="24"/>
          <w:highlight w:val="none"/>
          <w:lang w:val="en-US" w:eastAsia="zh-CN"/>
        </w:rPr>
        <w:t xml:space="preserve">15日，</w:t>
      </w:r>
      <w:r>
        <w:rPr>
          <w:rFonts w:hint="eastAsia" w:ascii="宋体" w:hAnsi="宋体" w:eastAsia="宋体" w:cs="宋体"/>
          <w:color w:val="000000"/>
          <w:sz w:val="24"/>
          <w:szCs w:val="24"/>
          <w:highlight w:val="none"/>
          <w:lang w:eastAsia="zh-CN"/>
        </w:rPr>
        <w:t xml:space="preserve">在验收试运行期间得到全面的检查和测试，从而保障设备的质量和安全性</w:t>
      </w:r>
      <w:r>
        <w:rPr>
          <w:rFonts w:hint="eastAsia" w:eastAsia="宋体" w:cs="宋体"/>
          <w:color w:val="000000"/>
          <w:sz w:val="24"/>
          <w:szCs w:val="24"/>
          <w:highlight w:val="none"/>
          <w:lang w:eastAsia="zh-CN"/>
        </w:rPr>
        <w:t xml:space="preserve">。</w:t>
      </w:r>
      <w:r/>
    </w:p>
    <w:p>
      <w:pPr>
        <w:pStyle w:val="832"/>
        <w:ind w:left="0" w:firstLine="482"/>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eastAsia="zh-CN"/>
        </w:rPr>
        <w:t xml:space="preserve">试运行</w:t>
      </w:r>
      <w:r>
        <w:rPr>
          <w:rFonts w:hint="eastAsia" w:eastAsia="宋体" w:cs="宋体"/>
          <w:color w:val="000000"/>
          <w:sz w:val="24"/>
          <w:szCs w:val="24"/>
          <w:highlight w:val="none"/>
          <w:lang w:val="en-US" w:eastAsia="zh-CN"/>
        </w:rPr>
        <w:t xml:space="preserve">期满后进行正式验收，</w:t>
      </w:r>
      <w:r>
        <w:rPr>
          <w:rFonts w:hint="eastAsia" w:ascii="宋体" w:hAnsi="宋体" w:eastAsia="宋体" w:cs="宋体"/>
          <w:color w:val="000000"/>
          <w:sz w:val="24"/>
          <w:szCs w:val="24"/>
          <w:highlight w:val="none"/>
        </w:rPr>
        <w:t xml:space="preserve">必要时邀请质检等部门共同参与验收，并出具验收报告，作为支付货款的依据。如验收不合格，采购人有权中止合同，验收不合格所发生的一切费用由中标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承担，按照实际发生的费用从履约保证金中扣除，扣完为止。</w:t>
      </w:r>
      <w:r/>
    </w:p>
    <w:p>
      <w:pPr>
        <w:pStyle w:val="832"/>
        <w:ind w:left="0" w:firstLine="482"/>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.如双方因产品设备的质量问题对项目建设整体（含产品设备）的验收结果有分歧，</w:t>
      </w:r>
      <w:bookmarkStart w:id="6" w:name="_Hlk69515408"/>
      <w:r>
        <w:rPr>
          <w:rFonts w:hint="eastAsia" w:ascii="宋体" w:hAnsi="宋体" w:eastAsia="宋体" w:cs="宋体"/>
          <w:color w:val="000000"/>
          <w:sz w:val="24"/>
          <w:szCs w:val="24"/>
          <w:highlight w:val="none"/>
        </w:rPr>
        <w:t xml:space="preserve">则以</w:t>
      </w:r>
      <w:r>
        <w:rPr>
          <w:rFonts w:hint="eastAsia" w:ascii="宋体" w:hAnsi="宋体" w:eastAsia="宋体" w:cs="宋体"/>
          <w:color w:val="000000"/>
          <w:sz w:val="24"/>
          <w:szCs w:val="24"/>
          <w:highlight w:val="none"/>
          <w:lang w:eastAsia="zh-CN"/>
        </w:rPr>
        <w:t xml:space="preserve">第三方</w:t>
      </w:r>
      <w:r>
        <w:rPr>
          <w:rFonts w:hint="eastAsia" w:ascii="宋体" w:hAnsi="宋体" w:eastAsia="宋体" w:cs="宋体"/>
          <w:color w:val="000000"/>
          <w:sz w:val="24"/>
          <w:szCs w:val="24"/>
          <w:highlight w:val="none"/>
        </w:rPr>
        <w:t xml:space="preserve">对可能有缺陷、故障的产品进行检测且以检测结果为准，检验费由有过失的一方支付</w:t>
      </w:r>
      <w:bookmarkEnd w:id="6"/>
      <w:r>
        <w:rPr>
          <w:rFonts w:hint="eastAsia" w:ascii="宋体" w:hAnsi="宋体" w:eastAsia="宋体" w:cs="宋体"/>
          <w:color w:val="000000"/>
          <w:sz w:val="24"/>
          <w:szCs w:val="24"/>
          <w:highlight w:val="none"/>
        </w:rPr>
        <w:t xml:space="preserve">。</w:t>
      </w:r>
      <w:r/>
    </w:p>
    <w:p>
      <w:pPr>
        <w:pStyle w:val="832"/>
        <w:ind w:left="0" w:firstLine="482"/>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.对于涉及因检测不合格的产品设备（批次），无条件退场，且采购人有权据此认定为是</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自身的原因而导致该种结果，采购人有权单方面解除本项目的采购合同。</w:t>
      </w:r>
      <w:r/>
    </w:p>
    <w:p>
      <w:pPr>
        <w:pStyle w:val="832"/>
        <w:ind w:left="0" w:firstLine="482"/>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.采购人有权拒收未通过验收而涉及到的产品设备。</w:t>
      </w:r>
      <w:r/>
    </w:p>
    <w:p>
      <w:pPr>
        <w:pStyle w:val="832"/>
        <w:ind w:left="0" w:firstLine="482"/>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.项目建设整体验收合格的同时，</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需提供项目内涉及到的产品设备的质保书、保修证明等书面资料给采购人。</w:t>
      </w:r>
      <w:r/>
    </w:p>
    <w:p>
      <w:pPr>
        <w:pStyle w:val="832"/>
        <w:ind w:left="0" w:firstLine="482"/>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eastAsia="zh-CN"/>
        </w:rPr>
        <w:t xml:space="preserve">六</w:t>
      </w:r>
      <w:r>
        <w:rPr>
          <w:rFonts w:hint="eastAsia" w:ascii="宋体" w:hAnsi="宋体" w:eastAsia="宋体" w:cs="宋体"/>
          <w:b/>
          <w:bCs/>
          <w:color w:val="000000"/>
          <w:sz w:val="24"/>
          <w:szCs w:val="24"/>
          <w:highlight w:val="none"/>
        </w:rPr>
        <w:t xml:space="preserve">、质保期</w:t>
      </w:r>
      <w:r/>
    </w:p>
    <w:p>
      <w:pPr>
        <w:pStyle w:val="832"/>
        <w:ind w:left="0" w:firstLine="482"/>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1.质保期限：</w:t>
      </w:r>
      <w:r>
        <w:rPr>
          <w:rFonts w:hint="eastAsia" w:ascii="宋体" w:hAnsi="宋体" w:eastAsia="宋体" w:cs="宋体"/>
          <w:color w:val="000000"/>
          <w:sz w:val="24"/>
          <w:szCs w:val="24"/>
          <w:highlight w:val="none"/>
          <w:lang w:val="en-US" w:eastAsia="zh-CN" w:bidi="ar-SA"/>
        </w:rPr>
        <w:t xml:space="preserve">签订合同前，所有器材提供原厂商质保，质保期自验收单签署之日起不</w:t>
      </w:r>
      <w:r>
        <w:rPr>
          <w:rFonts w:hint="eastAsia" w:ascii="宋体" w:hAnsi="宋体" w:eastAsia="宋体" w:cs="宋体"/>
          <w:color w:val="000000"/>
          <w:sz w:val="24"/>
          <w:szCs w:val="24"/>
          <w:highlight w:val="none"/>
          <w:lang w:val="en-US" w:eastAsia="zh-CN"/>
        </w:rPr>
        <w:t xml:space="preserve">少于3年。</w:t>
      </w:r>
      <w:r/>
    </w:p>
    <w:p>
      <w:pPr>
        <w:pStyle w:val="832"/>
        <w:ind w:left="0" w:firstLine="482"/>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.质保期内免费提供项目整体的维护和产品设备的维修，包括非人为因素发生的产品设备修理、更换的费用。</w:t>
      </w:r>
      <w:r/>
    </w:p>
    <w:p>
      <w:pPr>
        <w:pStyle w:val="832"/>
        <w:ind w:left="0" w:firstLine="482"/>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eastAsia="zh-CN"/>
        </w:rPr>
        <w:t xml:space="preserve">五</w:t>
      </w:r>
      <w:r>
        <w:rPr>
          <w:rFonts w:hint="eastAsia" w:ascii="宋体" w:hAnsi="宋体" w:eastAsia="宋体" w:cs="宋体"/>
          <w:b/>
          <w:bCs/>
          <w:color w:val="000000"/>
          <w:sz w:val="24"/>
          <w:szCs w:val="24"/>
          <w:highlight w:val="none"/>
        </w:rPr>
        <w:t xml:space="preserve">、售后服务</w:t>
      </w:r>
      <w:r>
        <w:rPr>
          <w:rFonts w:hint="eastAsia" w:ascii="宋体" w:hAnsi="宋体" w:eastAsia="宋体" w:cs="宋体"/>
          <w:b/>
          <w:bCs/>
          <w:color w:val="000000"/>
          <w:sz w:val="24"/>
          <w:szCs w:val="24"/>
          <w:highlight w:val="none"/>
          <w:lang w:eastAsia="zh-CN"/>
        </w:rPr>
        <w:t xml:space="preserve">及培训</w:t>
      </w:r>
      <w:r>
        <w:rPr>
          <w:rFonts w:hint="eastAsia" w:ascii="宋体" w:hAnsi="宋体" w:eastAsia="宋体" w:cs="宋体"/>
          <w:b/>
          <w:bCs/>
          <w:color w:val="000000"/>
          <w:sz w:val="24"/>
          <w:szCs w:val="24"/>
          <w:highlight w:val="none"/>
        </w:rPr>
        <w:t xml:space="preserve">要求</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应就本项目提供详细的售后服务方案。</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质保期</w:t>
      </w:r>
      <w:r>
        <w:rPr>
          <w:rFonts w:hint="eastAsia" w:ascii="宋体" w:hAnsi="宋体" w:eastAsia="宋体" w:cs="宋体"/>
          <w:color w:val="000000"/>
          <w:sz w:val="24"/>
          <w:szCs w:val="24"/>
          <w:highlight w:val="none"/>
        </w:rPr>
        <w:t xml:space="preserve">内，中标人负责对其提供的货物进行维修和维护，不再收取任何费用，但不可抗力造成的故障除外。</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质保期内，因器材质量出现故障，供应商须12小时内响应，24小时内维修完毕。</w:t>
      </w:r>
      <w:r>
        <w:rPr>
          <w:rFonts w:hint="eastAsia" w:ascii="宋体" w:hAnsi="宋体" w:eastAsia="宋体" w:cs="宋体"/>
          <w:color w:val="000000"/>
          <w:sz w:val="24"/>
          <w:szCs w:val="24"/>
          <w:highlight w:val="none"/>
        </w:rPr>
        <w:t xml:space="preserve">若货物故障在检修24工作小时后仍无法排除，中标人应免费提供不低于故障货物规格型号档次的备用货物供招标人使用，直至故障货物修复，如因此给招标人造成损失，中标人应负责赔偿。</w:t>
      </w:r>
      <w:bookmarkStart w:id="9" w:name="_GoBack"/>
      <w:r/>
      <w:bookmarkEnd w:id="9"/>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如中标人在接到招标人提出的技术服务要求或维修通知后</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小时内没有响应、拒绝或24小时没有派员到达现场提供技术服务、修理或退换货物，招标人有权委托第三人对合同货物进行维修或提供技术服务，由此产生的一切费用由中标人承担。</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如因中标人提供的货物硬件有缺陷，或中标人提供的技术资料有错误，或中标人在现场的技术人员指导有错误而使合同货物不能达到合同规定的指标和技术性能，中标人应负责修理或更换有缺陷和损坏的货物硬件或软件，使合同货物运行指标和技术性能达到合同规定，由此引起的全部费用由中标人承担。</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在合同货物</w:t>
      </w:r>
      <w:r>
        <w:rPr>
          <w:rFonts w:hint="eastAsia" w:ascii="宋体" w:hAnsi="宋体" w:eastAsia="宋体" w:cs="宋体"/>
          <w:color w:val="000000"/>
          <w:sz w:val="24"/>
          <w:szCs w:val="24"/>
          <w:highlight w:val="none"/>
          <w:lang w:eastAsia="zh-CN"/>
        </w:rPr>
        <w:t xml:space="preserve">质保期</w:t>
      </w:r>
      <w:r>
        <w:rPr>
          <w:rFonts w:hint="eastAsia" w:ascii="宋体" w:hAnsi="宋体" w:eastAsia="宋体" w:cs="宋体"/>
          <w:color w:val="000000"/>
          <w:sz w:val="24"/>
          <w:szCs w:val="24"/>
          <w:highlight w:val="none"/>
        </w:rPr>
        <w:t xml:space="preserve">内，如果由于中标人更换、修理和续补货物，而造成本合同货物不得不停止运行，货物</w:t>
      </w:r>
      <w:r>
        <w:rPr>
          <w:rFonts w:hint="eastAsia" w:ascii="宋体" w:hAnsi="宋体" w:eastAsia="宋体" w:cs="宋体"/>
          <w:color w:val="000000"/>
          <w:sz w:val="24"/>
          <w:szCs w:val="24"/>
          <w:highlight w:val="none"/>
          <w:lang w:eastAsia="zh-CN"/>
        </w:rPr>
        <w:t xml:space="preserve">质保期</w:t>
      </w:r>
      <w:r>
        <w:rPr>
          <w:rFonts w:hint="eastAsia" w:ascii="宋体" w:hAnsi="宋体" w:eastAsia="宋体" w:cs="宋体"/>
          <w:color w:val="000000"/>
          <w:sz w:val="24"/>
          <w:szCs w:val="24"/>
          <w:highlight w:val="none"/>
        </w:rPr>
        <w:t xml:space="preserve">应依照停止运行的实际时间加以延长，如因此给招标人造成损失，中标人应负责赔偿。</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所有货物保修服务方式均为中标人上门保修，即由中标人派员到货物使用现场维修，由此产生的一切费用均由中标人承担。如中标人在接到招标人通知后不到场，则招标人有权聘请其他技术人员到场进行技术支持，相关费用由中标人承担，招标人有权在尾款中直接扣除相关费用。</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5.合同货物</w:t>
      </w:r>
      <w:r>
        <w:rPr>
          <w:rFonts w:hint="eastAsia" w:ascii="宋体" w:hAnsi="宋体" w:eastAsia="宋体" w:cs="宋体"/>
          <w:color w:val="000000"/>
          <w:sz w:val="24"/>
          <w:szCs w:val="24"/>
          <w:highlight w:val="none"/>
          <w:shd w:val="clear" w:color="auto" w:fill="ffffff"/>
          <w:lang w:eastAsia="zh-CN"/>
        </w:rPr>
        <w:t xml:space="preserve">质保期</w:t>
      </w:r>
      <w:r>
        <w:rPr>
          <w:rFonts w:hint="eastAsia" w:ascii="宋体" w:hAnsi="宋体" w:eastAsia="宋体" w:cs="宋体"/>
          <w:color w:val="000000"/>
          <w:sz w:val="24"/>
          <w:szCs w:val="24"/>
          <w:highlight w:val="none"/>
          <w:shd w:val="clear" w:color="auto" w:fill="ffffff"/>
        </w:rPr>
        <w:t xml:space="preserve">届满后，中标人保证继续为招标人提供货物的维修服务，招标人应按卖方提供的优惠价格向中标人支付相关费用，中标人保证在合同货物使用期内以不高于本合同货物和相关配件的价格向招标人提供备品备件。</w:t>
      </w:r>
      <w:r/>
    </w:p>
    <w:p>
      <w:pPr>
        <w:pStyle w:val="832"/>
        <w:ind w:left="0" w:firstLine="480"/>
        <w:jc w:val="both"/>
        <w:keepLines w:val="0"/>
        <w:keepNext w:val="0"/>
        <w:spacing w:before="0" w:beforeAutospacing="0" w:after="0" w:afterAutospacing="0" w:line="360" w:lineRule="auto"/>
        <w:widowControl w:val="off"/>
        <w:rPr>
          <w:rFonts w:ascii="宋体" w:hAnsi="宋体" w:eastAsia="宋体" w:cs="宋体"/>
          <w:color w:val="00000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rPr>
        <w:t xml:space="preserve">6.</w:t>
      </w:r>
      <w:r>
        <w:rPr>
          <w:rFonts w:hint="eastAsia" w:ascii="宋体" w:hAnsi="宋体" w:eastAsia="宋体" w:cs="宋体"/>
          <w:color w:val="000000"/>
          <w:sz w:val="24"/>
          <w:szCs w:val="24"/>
          <w:highlight w:val="none"/>
          <w:shd w:val="clear" w:color="auto" w:fill="ffffff"/>
          <w:lang w:eastAsia="zh-CN"/>
        </w:rPr>
        <w:t xml:space="preserve">对采购人相关人员提供免费培训。培训内容包括系统及相关货物的配置、基本结构、性能、主要部件及处理，常规操作使用、保养与管理、常见故障的排除、紧急情况的处理和应急预案等，并提供具体的培训方案。</w:t>
      </w:r>
      <w:r/>
    </w:p>
    <w:p>
      <w:pPr>
        <w:pStyle w:val="832"/>
        <w:ind w:left="0" w:firstLine="482"/>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eastAsia="zh-CN"/>
        </w:rPr>
        <w:t xml:space="preserve">六</w:t>
      </w:r>
      <w:r>
        <w:rPr>
          <w:rFonts w:hint="eastAsia" w:ascii="宋体" w:hAnsi="宋体" w:eastAsia="宋体" w:cs="宋体"/>
          <w:b/>
          <w:bCs/>
          <w:color w:val="000000"/>
          <w:sz w:val="24"/>
          <w:szCs w:val="24"/>
          <w:highlight w:val="none"/>
        </w:rPr>
        <w:t xml:space="preserve">、技术响应要求</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应明确投标产品的制造商、产品品牌、型号、规格，并提供详细的技术参数及性能说明。</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需按照上述项目需求货物清单一览表中所有产品清单数量严谨报价，不得缺项、漏项，凡缺项、漏项的视作赠送。</w:t>
      </w:r>
      <w:r/>
    </w:p>
    <w:p>
      <w:pPr>
        <w:pStyle w:val="832"/>
        <w:ind w:left="0" w:right="0" w:firstLine="472"/>
        <w:keepLines w:val="0"/>
        <w:keepNext w:val="0"/>
        <w:spacing w:before="0" w:beforeAutospacing="0" w:after="0" w:afterAutospacing="0" w:line="360" w:lineRule="auto"/>
        <w:shd w:val="clear" w:color="auto" w:fill="ffffff"/>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lang w:eastAsia="zh-CN"/>
        </w:rPr>
        <w:t xml:space="preserve">七</w:t>
      </w:r>
      <w:r>
        <w:rPr>
          <w:rFonts w:hint="eastAsia" w:ascii="宋体" w:hAnsi="宋体" w:eastAsia="宋体" w:cs="宋体"/>
          <w:b/>
          <w:bCs/>
          <w:color w:val="000000"/>
          <w:sz w:val="24"/>
          <w:szCs w:val="24"/>
          <w:highlight w:val="none"/>
          <w:shd w:val="clear" w:color="auto" w:fill="ffffff"/>
        </w:rPr>
        <w:t xml:space="preserve">、供货产品抽样检测</w:t>
      </w:r>
      <w:r>
        <w:rPr>
          <w:rFonts w:hint="eastAsia" w:ascii="宋体" w:hAnsi="宋体" w:eastAsia="宋体" w:cs="宋体"/>
          <w:b/>
          <w:bCs/>
          <w:color w:val="000000"/>
          <w:sz w:val="24"/>
          <w:szCs w:val="24"/>
          <w:highlight w:val="none"/>
          <w:shd w:val="clear" w:color="auto" w:fill="ffffff"/>
          <w:lang w:eastAsia="zh-CN"/>
        </w:rPr>
        <w:t xml:space="preserve">及室内空气检测</w:t>
      </w:r>
      <w:r>
        <w:rPr>
          <w:rFonts w:hint="eastAsia" w:ascii="宋体" w:hAnsi="宋体" w:eastAsia="宋体" w:cs="宋体"/>
          <w:b/>
          <w:bCs/>
          <w:color w:val="000000"/>
          <w:sz w:val="24"/>
          <w:szCs w:val="24"/>
          <w:highlight w:val="none"/>
          <w:shd w:val="clear" w:color="auto" w:fill="ffffff"/>
        </w:rPr>
        <w:t xml:space="preserve">的约定</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1、中标人应对所有供货产品按照有关规定进行严格把关，提供相应合格证或检测合格报告。如因产品出现的质量和安全事故由中标人负全责，并赔偿相应损失。</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货物到达指定地点后采购人有权利随机抽取成品进行破坏性检测，中标人应予以积极配合。对不符合设计要求及验收规范的货物，有权终止使用，发生的一切损失和费用由中标人承担。【抽检货品（由采购人自行选择）须由中标供应商另外提供，不包括在采购</w:t>
      </w:r>
      <w:r>
        <w:rPr>
          <w:rFonts w:hint="eastAsia" w:ascii="宋体" w:hAnsi="宋体" w:eastAsia="宋体" w:cs="宋体"/>
          <w:color w:val="000000"/>
          <w:sz w:val="24"/>
          <w:szCs w:val="24"/>
          <w:highlight w:val="none"/>
          <w:lang w:eastAsia="zh-CN"/>
        </w:rPr>
        <w:t xml:space="preserve">本项目</w:t>
      </w:r>
      <w:r>
        <w:rPr>
          <w:rFonts w:hint="eastAsia" w:ascii="宋体" w:hAnsi="宋体" w:eastAsia="宋体" w:cs="宋体"/>
          <w:color w:val="000000"/>
          <w:sz w:val="24"/>
          <w:szCs w:val="24"/>
          <w:highlight w:val="none"/>
        </w:rPr>
        <w:t xml:space="preserve">数量内】。</w:t>
      </w:r>
      <w:r/>
    </w:p>
    <w:p>
      <w:pPr>
        <w:ind w:right="0" w:firstLine="482"/>
        <w:jc w:val="both"/>
        <w:keepLines w:val="0"/>
        <w:keepNext w:val="0"/>
        <w:pageBreakBefore w:val="0"/>
        <w:spacing w:before="0" w:beforeAutospacing="0" w:after="0" w:afterAutospacing="0" w:line="312"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本</w:t>
      </w:r>
      <w:r>
        <w:rPr>
          <w:rFonts w:hint="eastAsia" w:ascii="宋体" w:hAnsi="宋体" w:eastAsia="宋体" w:cs="宋体"/>
          <w:b/>
          <w:bCs/>
          <w:color w:val="000000"/>
          <w:sz w:val="24"/>
          <w:szCs w:val="24"/>
          <w:highlight w:val="none"/>
        </w:rPr>
        <w:t xml:space="preserve">项目货物验收前，必须</w:t>
      </w:r>
      <w:r>
        <w:rPr>
          <w:rFonts w:hint="eastAsia" w:ascii="宋体" w:hAnsi="宋体" w:eastAsia="宋体" w:cs="宋体"/>
          <w:b/>
          <w:bCs/>
          <w:color w:val="000000"/>
          <w:sz w:val="24"/>
          <w:szCs w:val="24"/>
          <w:highlight w:val="none"/>
          <w:lang w:eastAsia="zh-CN"/>
        </w:rPr>
        <w:t xml:space="preserve">对货物安装的房间进行</w:t>
      </w:r>
      <w:r>
        <w:rPr>
          <w:rFonts w:hint="eastAsia" w:ascii="宋体" w:hAnsi="宋体" w:eastAsia="宋体" w:cs="宋体"/>
          <w:b/>
          <w:bCs/>
          <w:color w:val="000000"/>
          <w:sz w:val="24"/>
          <w:szCs w:val="24"/>
          <w:highlight w:val="none"/>
        </w:rPr>
        <w:t xml:space="preserve">空气质量检测</w:t>
      </w:r>
      <w:r>
        <w:rPr>
          <w:rFonts w:hint="eastAsia" w:ascii="宋体" w:hAnsi="宋体" w:eastAsia="宋体" w:cs="宋体"/>
          <w:b/>
          <w:bCs/>
          <w:color w:val="000000"/>
          <w:sz w:val="24"/>
          <w:szCs w:val="24"/>
          <w:highlight w:val="none"/>
          <w:lang w:eastAsia="zh-CN"/>
        </w:rPr>
        <w:t xml:space="preserve">，检测工作需符合国家及地方现行规范标准，检测</w:t>
      </w:r>
      <w:r>
        <w:rPr>
          <w:rFonts w:hint="eastAsia" w:ascii="宋体" w:hAnsi="宋体" w:eastAsia="宋体" w:cs="宋体"/>
          <w:b/>
          <w:bCs/>
          <w:color w:val="000000"/>
          <w:sz w:val="24"/>
          <w:szCs w:val="24"/>
          <w:highlight w:val="none"/>
        </w:rPr>
        <w:t xml:space="preserve">结果</w:t>
      </w:r>
      <w:r>
        <w:rPr>
          <w:rFonts w:hint="eastAsia" w:ascii="宋体" w:hAnsi="宋体" w:eastAsia="宋体" w:cs="宋体"/>
          <w:b/>
          <w:bCs/>
          <w:color w:val="000000"/>
          <w:sz w:val="24"/>
          <w:szCs w:val="24"/>
          <w:highlight w:val="none"/>
          <w:lang w:eastAsia="zh-CN"/>
        </w:rPr>
        <w:t xml:space="preserve">合格，</w:t>
      </w:r>
      <w:r>
        <w:rPr>
          <w:rFonts w:hint="eastAsia" w:ascii="宋体" w:hAnsi="宋体" w:eastAsia="宋体" w:cs="宋体"/>
          <w:b/>
          <w:bCs/>
          <w:color w:val="000000"/>
          <w:sz w:val="24"/>
          <w:szCs w:val="24"/>
          <w:highlight w:val="none"/>
        </w:rPr>
        <w:t xml:space="preserve">检测费</w:t>
      </w:r>
      <w:r>
        <w:rPr>
          <w:rFonts w:hint="eastAsia" w:ascii="宋体" w:hAnsi="宋体" w:eastAsia="宋体" w:cs="宋体"/>
          <w:b/>
          <w:bCs/>
          <w:color w:val="000000"/>
          <w:sz w:val="24"/>
          <w:szCs w:val="24"/>
          <w:highlight w:val="none"/>
          <w:lang w:eastAsia="zh-CN"/>
        </w:rPr>
        <w:t xml:space="preserve">包含在投标报价中</w:t>
      </w:r>
      <w:r>
        <w:rPr>
          <w:rFonts w:hint="eastAsia" w:ascii="宋体" w:hAnsi="宋体" w:eastAsia="宋体" w:cs="宋体"/>
          <w:b/>
          <w:bCs/>
          <w:color w:val="000000"/>
          <w:sz w:val="24"/>
          <w:szCs w:val="24"/>
          <w:highlight w:val="none"/>
        </w:rPr>
        <w:t xml:space="preserve">。</w:t>
      </w:r>
      <w:r/>
    </w:p>
    <w:p>
      <w:pPr>
        <w:ind w:right="0" w:firstLine="482"/>
        <w:jc w:val="both"/>
        <w:keepLines w:val="0"/>
        <w:keepNext w:val="0"/>
        <w:pageBreakBefore w:val="0"/>
        <w:spacing w:before="0" w:beforeAutospacing="0" w:after="0" w:afterAutospacing="0" w:line="312"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若检测结果不合格，采购人有权要求中标</w:t>
      </w:r>
      <w:r>
        <w:rPr>
          <w:rFonts w:hint="eastAsia" w:ascii="宋体" w:hAnsi="宋体" w:eastAsia="宋体" w:cs="宋体"/>
          <w:b/>
          <w:bCs/>
          <w:color w:val="000000"/>
          <w:sz w:val="24"/>
          <w:szCs w:val="24"/>
          <w:highlight w:val="none"/>
          <w:lang w:eastAsia="zh-CN"/>
        </w:rPr>
        <w:t xml:space="preserve">人</w:t>
      </w:r>
      <w:r>
        <w:rPr>
          <w:rFonts w:hint="eastAsia" w:ascii="宋体" w:hAnsi="宋体" w:eastAsia="宋体" w:cs="宋体"/>
          <w:b/>
          <w:bCs/>
          <w:color w:val="000000"/>
          <w:sz w:val="24"/>
          <w:szCs w:val="24"/>
          <w:highlight w:val="none"/>
        </w:rPr>
        <w:t xml:space="preserve">更换全部或对应不合格货物，且可自主委托具备相应资质的第三方机构重新开展检测。</w:t>
      </w:r>
      <w:r>
        <w:rPr>
          <w:rFonts w:hint="eastAsia" w:ascii="宋体" w:hAnsi="宋体" w:eastAsia="宋体" w:cs="宋体"/>
          <w:b/>
          <w:bCs/>
          <w:color w:val="000000"/>
          <w:sz w:val="24"/>
          <w:szCs w:val="24"/>
          <w:highlight w:val="none"/>
          <w:lang w:eastAsia="zh-CN"/>
        </w:rPr>
        <w:t xml:space="preserve">无论</w:t>
      </w:r>
      <w:r>
        <w:rPr>
          <w:rFonts w:hint="eastAsia" w:ascii="宋体" w:hAnsi="宋体" w:eastAsia="宋体" w:cs="宋体"/>
          <w:b/>
          <w:bCs/>
          <w:color w:val="000000"/>
          <w:sz w:val="24"/>
          <w:szCs w:val="24"/>
          <w:highlight w:val="none"/>
          <w:lang w:val="en-US" w:eastAsia="zh-CN"/>
        </w:rPr>
        <w:t xml:space="preserve">检测结果是否合格产生的第三方检测费用，全部由中标人承担，中标人需按要求及时支付，不得拖延或拒绝。</w:t>
      </w:r>
      <w:r/>
    </w:p>
    <w:p>
      <w:pPr>
        <w:pStyle w:val="859"/>
        <w:ind w:firstLine="482"/>
        <w:jc w:val="both"/>
        <w:keepLines w:val="0"/>
        <w:keepNext w:val="0"/>
        <w:pageBreakBefore w:val="0"/>
        <w:spacing w:line="420" w:lineRule="exact"/>
        <w:widowControl w:val="off"/>
        <w:rPr>
          <w:rFonts w:hint="eastAsia" w:ascii="宋体" w:hAnsi="宋体" w:eastAsia="宋体" w:cs="宋体"/>
          <w:b w:val="0"/>
          <w:bCs w:val="0"/>
          <w:color w:val="000000"/>
          <w:sz w:val="24"/>
          <w:szCs w:val="24"/>
          <w:highlight w:val="none"/>
          <w:lang w:val="en-US" w:eastAsia="zh-CN"/>
        </w:rPr>
        <w:outlineLvl w:val="1"/>
      </w:pPr>
      <w:r>
        <w:rPr>
          <w:rFonts w:hint="eastAsia" w:ascii="宋体" w:hAnsi="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lang w:val="en-US" w:eastAsia="zh-CN"/>
        </w:rPr>
        <w:t xml:space="preserve">、其他要求：</w:t>
      </w:r>
      <w:r>
        <w:rPr>
          <w:rFonts w:hint="eastAsia" w:ascii="宋体" w:hAnsi="宋体" w:eastAsia="宋体" w:cs="宋体"/>
          <w:b w:val="0"/>
          <w:bCs w:val="0"/>
          <w:color w:val="000000"/>
          <w:sz w:val="24"/>
          <w:szCs w:val="24"/>
          <w:highlight w:val="none"/>
          <w:lang w:val="en-US" w:eastAsia="zh-CN"/>
        </w:rPr>
        <w:t xml:space="preserve">见招标文件第五章《拟签订的合同文本》。</w:t>
      </w:r>
      <w:r/>
    </w:p>
    <w:p>
      <w:pPr>
        <w:pStyle w:val="859"/>
        <w:jc w:val="both"/>
        <w:keepLines w:val="0"/>
        <w:keepNext w:val="0"/>
        <w:pageBreakBefore w:val="0"/>
        <w:spacing w:line="420" w:lineRule="exact"/>
        <w:widowControl w:val="off"/>
        <w:rPr>
          <w:rFonts w:hint="eastAsia" w:ascii="宋体" w:hAnsi="宋体" w:eastAsia="宋体" w:cs="宋体"/>
          <w:b/>
          <w:bCs/>
          <w:color w:val="000000"/>
          <w:sz w:val="24"/>
          <w:szCs w:val="24"/>
          <w:highlight w:val="none"/>
          <w:lang w:val="en-US" w:eastAsia="zh-CN"/>
        </w:rPr>
        <w:sectPr>
          <w:footerReference w:type="default" r:id="rId11"/>
          <w:footnotePr/>
          <w:endnotePr/>
          <w:type w:val="nextPage"/>
          <w:pgSz w:w="11906" w:h="16838" w:orient="portrait"/>
          <w:pgMar w:top="1134" w:right="1304" w:bottom="964" w:left="1304" w:header="709" w:footer="709" w:gutter="0"/>
          <w:pgNumType w:start="1"/>
          <w:cols w:num="1" w:sep="0" w:space="1701" w:equalWidth="1"/>
          <w:docGrid w:linePitch="360"/>
        </w:sectPr>
      </w:pPr>
      <w:r>
        <w:rPr>
          <w:rFonts w:hint="eastAsia" w:ascii="宋体" w:hAnsi="宋体" w:eastAsia="宋体" w:cs="宋体"/>
          <w:b/>
          <w:bCs/>
          <w:color w:val="000000"/>
          <w:sz w:val="24"/>
          <w:szCs w:val="24"/>
          <w:highlight w:val="none"/>
          <w:lang w:val="en-US" w:eastAsia="zh-CN"/>
        </w:rPr>
      </w:r>
      <w:r/>
    </w:p>
    <w:p>
      <w:pPr>
        <w:numPr>
          <w:ilvl w:val="0"/>
          <w:numId w:val="5"/>
        </w:numPr>
        <w:ind w:left="0" w:right="0" w:firstLine="0"/>
        <w:jc w:val="center"/>
        <w:keepLines w:val="0"/>
        <w:keepNext w:val="0"/>
        <w:pageBreakBefore w:val="0"/>
        <w:spacing w:before="0" w:beforeAutospacing="0" w:after="0" w:afterAutospacing="0" w:line="360" w:lineRule="auto"/>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highlight w:val="none"/>
        </w:rPr>
        <w:t xml:space="preserve">投标文件相关格式</w:t>
      </w:r>
      <w:r/>
    </w:p>
    <w:p>
      <w:pPr>
        <w:pStyle w:val="877"/>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 投标函</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 开标一览表</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 分项价格表</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4．偏离表</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 授权委托书</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 中小企业声明函</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 投标人参加政府采购活动前3年内在经营活动中没有重大违法记录的书面声明</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 残疾人福利性单位声明函</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 具备履行合同所必需的设备和专业技术能力的书面声明（附证明材料原件的扫描件）</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10.关于符合本国产品标准的声明函（如有）</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lang w:val="en-US" w:eastAsia="zh-CN"/>
        </w:rPr>
        <w:t xml:space="preserve">招标文件要求的及投标人认为有必要提供的其他资料或承诺等</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.预付款保函支付条款模板</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8"/>
          <w:szCs w:val="28"/>
          <w:highlight w:val="none"/>
        </w:rPr>
        <w:t xml:space="preserve">1. 投标函</w:t>
      </w:r>
      <w:r/>
    </w:p>
    <w:p>
      <w:pPr>
        <w:pStyle w:val="859"/>
        <w:jc w:val="both"/>
        <w:spacing w:line="360" w:lineRule="auto"/>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致：</w:t>
      </w:r>
      <w:r>
        <w:rPr>
          <w:rFonts w:hint="eastAsia" w:ascii="宋体" w:hAnsi="宋体" w:cs="宋体"/>
          <w:b w:val="0"/>
          <w:bCs w:val="0"/>
          <w:color w:val="000000"/>
          <w:sz w:val="24"/>
          <w:szCs w:val="24"/>
          <w:highlight w:val="none"/>
          <w:u w:val="single"/>
          <w:lang w:val="en-US" w:eastAsia="zh-CN"/>
        </w:rPr>
        <w:t xml:space="preserve">徐州市发展和改革委员会、永明项目管理有限公司</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根据</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val="en-US" w:eastAsia="zh-CN"/>
        </w:rPr>
        <w:t xml:space="preserve">项目[项目编号：</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val="en-US" w:eastAsia="zh-CN"/>
        </w:rPr>
        <w:t xml:space="preserve">]招标文件， _______（姓名）代表我方______________（投标人的名称）全权处理本次投标的有关事宜。</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据此函，投标人承诺并同意如下： </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1.投标人唯一投标报价见《开标一览表》。</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2.投标人将按招标文件的规定履行合同责任和义务。</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3.投标人已详细审查全部招标文件，包括第[插入编号] [补遗书][如果有的话]。投标人完全理解并同意放弃对这方面有不明及误解的权力。</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4.投标有效期为45天。</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5.投标人同意提供按照贵方可能要求的与其投标有关的一切数据或资料，完全理解贵方不一定接受最低价的投标或收到的任何投标。</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6.招标文件中关于“投标文件的密封要求”的规定由</w:t>
      </w:r>
      <w:r>
        <w:rPr>
          <w:rFonts w:hint="eastAsia" w:ascii="宋体" w:hAnsi="宋体" w:cs="宋体"/>
          <w:b w:val="0"/>
          <w:bCs w:val="0"/>
          <w:color w:val="000000"/>
          <w:sz w:val="24"/>
          <w:szCs w:val="24"/>
          <w:highlight w:val="none"/>
          <w:lang w:val="en-US" w:eastAsia="zh-CN"/>
        </w:rPr>
        <w:t xml:space="preserve">永明项目管理有限公司</w:t>
      </w:r>
      <w:r>
        <w:rPr>
          <w:rFonts w:hint="eastAsia" w:ascii="宋体" w:hAnsi="宋体" w:eastAsia="宋体" w:cs="宋体"/>
          <w:b w:val="0"/>
          <w:bCs w:val="0"/>
          <w:color w:val="000000"/>
          <w:sz w:val="24"/>
          <w:szCs w:val="24"/>
          <w:highlight w:val="none"/>
          <w:lang w:val="en-US" w:eastAsia="zh-CN"/>
        </w:rPr>
        <w:t xml:space="preserve">解释，投标人完全理解招标文件中关于“投标文件的密封要求”的规定。</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cs="宋体"/>
          <w:b w:val="0"/>
          <w:bCs w:val="0"/>
          <w:color w:val="000000"/>
          <w:sz w:val="24"/>
          <w:szCs w:val="24"/>
          <w:highlight w:val="none"/>
          <w:lang w:val="en-US" w:eastAsia="zh-CN"/>
        </w:rPr>
        <w:t xml:space="preserve">永明项目管理有限公司</w:t>
      </w:r>
      <w:r>
        <w:rPr>
          <w:rFonts w:hint="eastAsia" w:ascii="宋体" w:hAnsi="宋体" w:eastAsia="宋体" w:cs="宋体"/>
          <w:b w:val="0"/>
          <w:bCs w:val="0"/>
          <w:color w:val="000000"/>
          <w:sz w:val="24"/>
          <w:szCs w:val="24"/>
          <w:highlight w:val="none"/>
          <w:lang w:val="en-US" w:eastAsia="zh-CN"/>
        </w:rPr>
        <w:t xml:space="preserve">有权将我单位本项目投标文件中的《开标一览表》和《分项价格表》予以公示，公示的方式由</w:t>
      </w:r>
      <w:r>
        <w:rPr>
          <w:rFonts w:hint="eastAsia" w:ascii="宋体" w:hAnsi="宋体" w:cs="宋体"/>
          <w:b w:val="0"/>
          <w:bCs w:val="0"/>
          <w:color w:val="000000"/>
          <w:sz w:val="24"/>
          <w:szCs w:val="24"/>
          <w:highlight w:val="none"/>
          <w:lang w:val="en-US" w:eastAsia="zh-CN"/>
        </w:rPr>
        <w:t xml:space="preserve">永明项目管理有限公司</w:t>
      </w:r>
      <w:r>
        <w:rPr>
          <w:rFonts w:hint="eastAsia" w:ascii="宋体" w:hAnsi="宋体" w:eastAsia="宋体" w:cs="宋体"/>
          <w:b w:val="0"/>
          <w:bCs w:val="0"/>
          <w:color w:val="000000"/>
          <w:sz w:val="24"/>
          <w:szCs w:val="24"/>
          <w:highlight w:val="none"/>
          <w:lang w:val="en-US" w:eastAsia="zh-CN"/>
        </w:rPr>
        <w:t xml:space="preserve">确定。如我单位被确定为中标、成交供应商，</w:t>
      </w:r>
      <w:r>
        <w:rPr>
          <w:rFonts w:hint="eastAsia" w:ascii="宋体" w:hAnsi="宋体" w:cs="宋体"/>
          <w:b w:val="0"/>
          <w:bCs w:val="0"/>
          <w:color w:val="000000"/>
          <w:sz w:val="24"/>
          <w:szCs w:val="24"/>
          <w:highlight w:val="none"/>
          <w:lang w:val="en-US" w:eastAsia="zh-CN"/>
        </w:rPr>
        <w:t xml:space="preserve">永明项目管理有限公司</w:t>
      </w:r>
      <w:r>
        <w:rPr>
          <w:rFonts w:hint="eastAsia" w:ascii="宋体" w:hAnsi="宋体" w:eastAsia="宋体" w:cs="宋体"/>
          <w:b w:val="0"/>
          <w:bCs w:val="0"/>
          <w:color w:val="000000"/>
          <w:sz w:val="24"/>
          <w:szCs w:val="24"/>
          <w:highlight w:val="none"/>
          <w:lang w:val="en-US" w:eastAsia="zh-CN"/>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 与本投标有关的一切正式往来信函请寄：</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地址： </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电话：            手机号码： </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传真： </w:t>
      </w:r>
      <w:r/>
    </w:p>
    <w:p>
      <w:pPr>
        <w:ind w:firstLine="3120"/>
        <w:spacing w:line="24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电子</w:t>
      </w:r>
      <w:r>
        <w:rPr>
          <w:rFonts w:hint="eastAsia" w:ascii="宋体" w:hAnsi="宋体" w:eastAsia="宋体" w:cs="宋体"/>
          <w:color w:val="000000"/>
          <w:sz w:val="24"/>
          <w:highlight w:val="none"/>
        </w:rPr>
        <w:t xml:space="preserve">公章</w:t>
      </w:r>
      <w:r>
        <w:rPr>
          <w:rFonts w:hint="eastAsia" w:ascii="宋体" w:hAnsi="宋体" w:eastAsia="宋体" w:cs="宋体"/>
          <w:color w:val="000000"/>
          <w:sz w:val="24"/>
          <w:highlight w:val="none"/>
          <w:lang w:eastAsia="zh-CN"/>
        </w:rPr>
        <w:t xml:space="preserve">）</w:t>
      </w:r>
      <w:r/>
    </w:p>
    <w:p>
      <w:pPr>
        <w:ind w:firstLine="48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签字或</w:t>
      </w:r>
      <w:r>
        <w:rPr>
          <w:rFonts w:hint="eastAsia" w:ascii="宋体" w:hAnsi="宋体" w:eastAsia="宋体" w:cs="宋体"/>
          <w:color w:val="000000"/>
          <w:sz w:val="24"/>
          <w:highlight w:val="none"/>
          <w:lang w:val="en-US" w:eastAsia="zh-CN"/>
        </w:rPr>
        <w:t xml:space="preserve">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pStyle w:val="859"/>
        <w:ind w:firstLine="312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highlight w:val="none"/>
        </w:rPr>
        <w:t xml:space="preserve">日期：   年  月  日</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sectPr>
          <w:footerReference w:type="default" r:id="rId12"/>
          <w:footnotePr/>
          <w:endnotePr/>
          <w:type w:val="nextPage"/>
          <w:pgSz w:w="11906" w:h="16838" w:orient="portrait"/>
          <w:pgMar w:top="1134" w:right="1304" w:bottom="964" w:left="1304" w:header="709" w:footer="709" w:gutter="0"/>
          <w:pgNumType w:start="1"/>
          <w:cols w:num="1" w:sep="0" w:space="1701" w:equalWidth="1"/>
          <w:docGrid w:linePitch="360"/>
        </w:sectPr>
      </w:pPr>
      <w:r>
        <w:rPr>
          <w:rFonts w:hint="eastAsia" w:ascii="宋体" w:hAnsi="宋体" w:eastAsia="宋体" w:cs="宋体"/>
          <w:b w:val="0"/>
          <w:bCs w:val="0"/>
          <w:color w:val="000000"/>
          <w:sz w:val="24"/>
          <w:szCs w:val="24"/>
          <w:highlight w:val="none"/>
          <w:lang w:val="en-US" w:eastAsia="zh-CN"/>
        </w:rPr>
      </w:r>
      <w:r/>
    </w:p>
    <w:p>
      <w:pPr>
        <w:jc w:val="center"/>
        <w:spacing w:line="360"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2．开标一览表</w:t>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lang w:eastAsia="zh-CN"/>
        </w:rPr>
        <w:t xml:space="preserve">市救灾物资储备库配套设施（市物资储备专项资金）</w:t>
      </w:r>
      <w:r/>
    </w:p>
    <w:p>
      <w:pPr>
        <w:jc w:val="both"/>
        <w:spacing w:line="480" w:lineRule="exact"/>
        <w:rPr>
          <w:rFonts w:hint="eastAsia" w:ascii="宋体" w:hAnsi="宋体" w:eastAsia="宋体" w:cs="宋体"/>
          <w:i/>
          <w:iCs/>
          <w:color w:val="000000"/>
          <w:sz w:val="28"/>
          <w:szCs w:val="28"/>
          <w:highlight w:val="none"/>
        </w:rPr>
      </w:pPr>
      <w:r>
        <w:rPr>
          <w:rFonts w:hint="eastAsia" w:ascii="宋体" w:hAnsi="宋体" w:eastAsia="宋体" w:cs="宋体"/>
          <w:color w:val="000000"/>
          <w:sz w:val="24"/>
          <w:highlight w:val="none"/>
        </w:rPr>
        <w:t xml:space="preserve">项目编号：</w:t>
      </w:r>
      <w:r/>
    </w:p>
    <w:p>
      <w:pPr>
        <w:jc w:val="center"/>
        <w:spacing w:line="480" w:lineRule="exact"/>
        <w:rPr>
          <w:rFonts w:hint="eastAsia" w:ascii="宋体" w:hAnsi="宋体" w:eastAsia="宋体" w:cs="宋体"/>
          <w:i/>
          <w:iCs/>
          <w:color w:val="000000"/>
          <w:sz w:val="28"/>
          <w:szCs w:val="28"/>
          <w:highlight w:val="none"/>
        </w:rPr>
      </w:pPr>
      <w:r>
        <w:rPr>
          <w:rFonts w:hint="eastAsia" w:ascii="宋体" w:hAnsi="宋体" w:eastAsia="宋体" w:cs="宋体"/>
          <w:i/>
          <w:iCs/>
          <w:color w:val="000000"/>
          <w:sz w:val="28"/>
          <w:szCs w:val="28"/>
          <w:highlight w:val="none"/>
        </w:rPr>
      </w:r>
      <w:r/>
    </w:p>
    <w:p>
      <w:pPr>
        <w:pStyle w:val="877"/>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480" w:lineRule="exact"/>
        <w:rPr>
          <w:rFonts w:hint="eastAsia" w:ascii="宋体" w:hAnsi="宋体" w:eastAsia="宋体" w:cs="宋体"/>
          <w:i/>
          <w:iCs/>
          <w:color w:val="000000"/>
          <w:sz w:val="28"/>
          <w:szCs w:val="28"/>
          <w:highlight w:val="none"/>
        </w:rPr>
      </w:pPr>
      <w:r>
        <w:rPr>
          <w:rFonts w:hint="eastAsia" w:ascii="宋体" w:hAnsi="宋体" w:eastAsia="宋体" w:cs="宋体"/>
          <w:i/>
          <w:iCs/>
          <w:color w:val="000000"/>
          <w:sz w:val="28"/>
          <w:szCs w:val="28"/>
          <w:highlight w:val="none"/>
        </w:rPr>
      </w:r>
      <w:r/>
    </w:p>
    <w:p>
      <w:pPr>
        <w:jc w:val="center"/>
        <w:spacing w:line="480" w:lineRule="exact"/>
        <w:rPr>
          <w:rFonts w:hint="eastAsia" w:ascii="宋体" w:hAnsi="宋体" w:eastAsia="宋体" w:cs="宋体"/>
          <w:i w:val="0"/>
          <w:iCs w:val="0"/>
          <w:color w:val="000000"/>
          <w:sz w:val="32"/>
          <w:szCs w:val="32"/>
          <w:highlight w:val="none"/>
          <w:u w:val="single"/>
        </w:rPr>
        <w:outlineLvl w:val="2"/>
      </w:pPr>
      <w:r>
        <w:rPr>
          <w:rFonts w:hint="eastAsia" w:ascii="宋体" w:hAnsi="宋体" w:eastAsia="宋体" w:cs="宋体"/>
          <w:i w:val="0"/>
          <w:iCs w:val="0"/>
          <w:color w:val="000000"/>
          <w:sz w:val="32"/>
          <w:szCs w:val="32"/>
          <w:highlight w:val="none"/>
          <w:u w:val="single"/>
        </w:rPr>
        <w:t xml:space="preserve">政府采购客户端工具输入报价自动生成</w:t>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jc w:val="lef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spacing w:line="48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2940" w:firstLine="3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lang w:eastAsia="zh-CN"/>
        </w:rPr>
        <w:t xml:space="preserve">）</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投标人法定代表人或授权代表：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签字或电子签章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jc w:val="center"/>
        <w:spacing w:line="360"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4"/>
          <w:highlight w:val="none"/>
        </w:rPr>
        <w:br w:type="page" w:clear="all"/>
      </w:r>
      <w:r>
        <w:rPr>
          <w:rFonts w:hint="eastAsia" w:ascii="宋体" w:hAnsi="宋体" w:eastAsia="宋体" w:cs="宋体"/>
          <w:color w:val="000000"/>
          <w:sz w:val="28"/>
          <w:szCs w:val="28"/>
          <w:highlight w:val="none"/>
        </w:rPr>
        <w:t xml:space="preserve">3．分项报价表</w:t>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lang w:eastAsia="zh-CN"/>
        </w:rPr>
        <w:t xml:space="preserve">市救灾物资储备库配套设施（市物资储备专项资金）</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JSZC-320300-YMXM-G2026-0001</w:t>
      </w:r>
      <w:r/>
    </w:p>
    <w:p>
      <w:pP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采购包：</w:t>
      </w:r>
      <w:r/>
    </w:p>
    <w:p>
      <w:pPr>
        <w:ind w:firstLine="15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货币单位：人民币元</w:t>
      </w:r>
      <w:r/>
    </w:p>
    <w:tbl>
      <w:tblPr>
        <w:tblStyle w:val="77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474"/>
        <w:gridCol w:w="975"/>
        <w:gridCol w:w="1415"/>
        <w:gridCol w:w="3628"/>
        <w:gridCol w:w="582"/>
        <w:gridCol w:w="806"/>
        <w:gridCol w:w="553"/>
        <w:gridCol w:w="403"/>
        <w:gridCol w:w="498"/>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序号</w:t>
            </w:r>
            <w:r/>
          </w:p>
        </w:tc>
        <w:tc>
          <w:tcPr>
            <w:shd w:val="clear" w:color="auto" w:fill="c0c0c0"/>
            <w:tcMar>
              <w:left w:w="15" w:type="dxa"/>
              <w:top w:w="15" w:type="dxa"/>
              <w:right w:w="15" w:type="dxa"/>
              <w:bottom w:w="0" w:type="dxa"/>
            </w:tcMar>
            <w:tcW w:w="474"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名称</w:t>
            </w:r>
            <w:r/>
          </w:p>
        </w:tc>
        <w:tc>
          <w:tcPr>
            <w:shd w:val="clear" w:color="auto" w:fill="c0c0c0"/>
            <w:tcMar>
              <w:left w:w="15" w:type="dxa"/>
              <w:top w:w="15" w:type="dxa"/>
              <w:right w:w="15" w:type="dxa"/>
              <w:bottom w:w="0" w:type="dxa"/>
            </w:tcMar>
            <w:tcW w:w="97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en-US" w:bidi="ar-SA"/>
              </w:rPr>
              <w:t xml:space="preserve">品牌、规格、型号</w:t>
            </w:r>
            <w:r/>
          </w:p>
        </w:tc>
        <w:tc>
          <w:tcPr>
            <w:shd w:val="clear" w:color="auto" w:fill="c0c0c0"/>
            <w:tcMar>
              <w:left w:w="15" w:type="dxa"/>
              <w:top w:w="15" w:type="dxa"/>
              <w:right w:w="15" w:type="dxa"/>
              <w:bottom w:w="0" w:type="dxa"/>
            </w:tcMar>
            <w:tcW w:w="1415"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产品制造企业名称（全称）</w:t>
            </w:r>
            <w:r/>
          </w:p>
        </w:tc>
        <w:tc>
          <w:tcPr>
            <w:shd w:val="clear" w:color="auto" w:fill="c0c0c0"/>
            <w:tcMar>
              <w:left w:w="15" w:type="dxa"/>
              <w:top w:w="15" w:type="dxa"/>
              <w:right w:w="15" w:type="dxa"/>
              <w:bottom w:w="0" w:type="dxa"/>
            </w:tcMar>
            <w:tcW w:w="3628"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582"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数量</w:t>
            </w:r>
            <w:r/>
          </w:p>
        </w:tc>
        <w:tc>
          <w:tcPr>
            <w:shd w:val="clear" w:color="auto" w:fill="c0c0c0"/>
            <w:tcMar>
              <w:left w:w="15" w:type="dxa"/>
              <w:top w:w="15" w:type="dxa"/>
              <w:right w:w="15" w:type="dxa"/>
              <w:bottom w:w="0" w:type="dxa"/>
            </w:tcMar>
            <w:tcW w:w="806"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数量单位</w:t>
            </w:r>
            <w:r/>
          </w:p>
        </w:tc>
        <w:tc>
          <w:tcPr>
            <w:shd w:val="clear" w:color="auto" w:fill="c0c0c0"/>
            <w:tcMar>
              <w:left w:w="15" w:type="dxa"/>
              <w:top w:w="15" w:type="dxa"/>
              <w:right w:w="15" w:type="dxa"/>
              <w:bottom w:w="0" w:type="dxa"/>
            </w:tcMar>
            <w:tcW w:w="553"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单价</w:t>
            </w:r>
            <w:r/>
          </w:p>
        </w:tc>
        <w:tc>
          <w:tcPr>
            <w:shd w:val="clear" w:color="auto" w:fill="c0c0c0"/>
            <w:tcW w:w="403"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总价</w:t>
            </w:r>
            <w:r/>
          </w:p>
        </w:tc>
        <w:tc>
          <w:tcPr>
            <w:shd w:val="clear" w:color="auto" w:fill="c0c0c0"/>
            <w:tcMar>
              <w:left w:w="15" w:type="dxa"/>
              <w:top w:w="15" w:type="dxa"/>
              <w:right w:w="15" w:type="dxa"/>
              <w:bottom w:w="0" w:type="dxa"/>
            </w:tcMar>
            <w:tcW w:w="498" w:type="dxa"/>
            <w:vAlign w:val="center"/>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b/>
                <w:bCs/>
                <w:color w:val="000000"/>
                <w:sz w:val="21"/>
                <w:szCs w:val="21"/>
                <w:highlight w:val="none"/>
                <w:lang w:val="en-US" w:eastAsia="en-US" w:bidi="ar-SA"/>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1</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2</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3</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4</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5</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6</w:t>
            </w:r>
            <w:r/>
          </w:p>
        </w:tc>
        <w:tc>
          <w:tcPr>
            <w:tcMar>
              <w:left w:w="15" w:type="dxa"/>
              <w:top w:w="15" w:type="dxa"/>
              <w:right w:w="15" w:type="dxa"/>
              <w:bottom w:w="0" w:type="dxa"/>
            </w:tcMar>
            <w:tcW w:w="474"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975"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1415"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3628"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82"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806"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553"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W w:w="403"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c>
          <w:tcPr>
            <w:tcMar>
              <w:left w:w="15" w:type="dxa"/>
              <w:top w:w="15" w:type="dxa"/>
              <w:right w:w="15" w:type="dxa"/>
              <w:bottom w:w="0" w:type="dxa"/>
            </w:tcMar>
            <w:tcW w:w="498"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676"/>
        </w:trPr>
        <w:tc>
          <w:tcPr>
            <w:gridSpan w:val="4"/>
            <w:tcMar>
              <w:left w:w="15" w:type="dxa"/>
              <w:top w:w="15" w:type="dxa"/>
              <w:right w:w="15" w:type="dxa"/>
              <w:bottom w:w="0" w:type="dxa"/>
            </w:tcMar>
            <w:tcW w:w="336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总价合计（即《开标一览表》中的“总价”）</w:t>
            </w:r>
            <w:r/>
          </w:p>
        </w:tc>
        <w:tc>
          <w:tcPr>
            <w:gridSpan w:val="6"/>
            <w:tcW w:w="6470" w:type="dxa"/>
            <w:vAlign w:val="top"/>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r>
            <w:r/>
          </w:p>
        </w:tc>
      </w:tr>
      <w:tr>
        <w:trPr>
          <w:jc w:val="center"/>
          <w:trHeight w:val="676"/>
        </w:trPr>
        <w:tc>
          <w:tcPr>
            <w:gridSpan w:val="10"/>
            <w:tcMar>
              <w:left w:w="15" w:type="dxa"/>
              <w:top w:w="15" w:type="dxa"/>
              <w:right w:w="15" w:type="dxa"/>
              <w:bottom w:w="0" w:type="dxa"/>
            </w:tcMar>
            <w:tcW w:w="9839" w:type="dxa"/>
            <w:vAlign w:val="bottom"/>
            <w:textDirection w:val="lrTb"/>
            <w:noWrap w:val="false"/>
          </w:tcPr>
          <w:p>
            <w:pPr>
              <w:jc w:val="center"/>
              <w:keepLines w:val="0"/>
              <w:keepNext w:val="0"/>
              <w:pageBreakBefore w:val="0"/>
              <w:spacing w:before="0" w:beforeAutospacing="0" w:after="0" w:afterAutospacing="0" w:line="276" w:lineRule="auto"/>
              <w:widowControl/>
              <w:rPr>
                <w:rFonts w:hint="eastAsia" w:ascii="宋体" w:hAnsi="宋体" w:eastAsia="宋体" w:cs="宋体"/>
                <w:color w:val="000000"/>
                <w:sz w:val="21"/>
                <w:szCs w:val="21"/>
                <w:highlight w:val="none"/>
                <w:lang w:val="en-US" w:eastAsia="en-US" w:bidi="ar-SA"/>
              </w:rPr>
            </w:pPr>
            <w:r>
              <w:rPr>
                <w:rFonts w:hint="eastAsia" w:ascii="宋体" w:hAnsi="宋体" w:eastAsia="宋体" w:cs="宋体"/>
                <w:color w:val="000000"/>
                <w:sz w:val="21"/>
                <w:szCs w:val="21"/>
                <w:highlight w:val="none"/>
                <w:lang w:val="en-US" w:eastAsia="en-US" w:bidi="ar-SA"/>
              </w:rPr>
              <w:t xml:space="preserve">本采购包中提供的符合本国产品标准的产品成本之和占该采购包提供的全部产品成本之和的比例为***%。（若无，此项可删除）</w:t>
            </w:r>
            <w:r/>
          </w:p>
        </w:tc>
      </w:tr>
    </w:tbl>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2940" w:firstLine="3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lang w:eastAsia="zh-CN"/>
        </w:rPr>
        <w:t xml:space="preserve">）</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投标人法定代表人或授权代表：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签字或电子签章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859"/>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说明：1．如果不提供详细分项报价将视为没有实质性响应招标文件。</w:t>
      </w:r>
      <w:r/>
    </w:p>
    <w:p>
      <w:pPr>
        <w:pStyle w:val="859"/>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59"/>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.投标人对以上数据的真实性负责。</w:t>
      </w:r>
      <w:r/>
    </w:p>
    <w:p>
      <w:pPr>
        <w:ind w:firstLine="480"/>
        <w:spacing w:line="360" w:lineRule="auto"/>
        <w:rPr>
          <w:rFonts w:hint="eastAsia" w:ascii="宋体" w:hAnsi="宋体" w:eastAsia="宋体" w:cs="宋体"/>
          <w:i w:val="0"/>
          <w:iCs/>
          <w:color w:val="000000"/>
          <w:sz w:val="24"/>
          <w:highlight w:val="none"/>
          <w:u w:val="single"/>
        </w:rPr>
      </w:pPr>
      <w:r>
        <w:rPr>
          <w:rFonts w:hint="eastAsia" w:ascii="宋体" w:hAnsi="宋体" w:eastAsia="宋体" w:cs="宋体"/>
          <w:i w:val="0"/>
          <w:iCs/>
          <w:color w:val="000000"/>
          <w:sz w:val="24"/>
          <w:highlight w:val="none"/>
          <w:u w:val="single"/>
          <w:lang w:eastAsia="zh-CN"/>
        </w:rPr>
        <w:t xml:space="preserve">永明项目管理有限公司</w:t>
      </w:r>
      <w:r>
        <w:rPr>
          <w:rFonts w:hint="eastAsia" w:ascii="宋体" w:hAnsi="宋体" w:eastAsia="宋体" w:cs="宋体"/>
          <w:i w:val="0"/>
          <w:iCs/>
          <w:color w:val="000000"/>
          <w:sz w:val="24"/>
          <w:highlight w:val="none"/>
          <w:u w:val="single"/>
        </w:rPr>
        <w:t xml:space="preserve">有权将以上内容进行公示。</w:t>
      </w:r>
      <w:r/>
    </w:p>
    <w:p>
      <w:pPr>
        <w:jc w:val="center"/>
        <w:spacing w:line="360"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 xml:space="preserve">4．偏离表</w:t>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lang w:eastAsia="zh-CN"/>
        </w:rPr>
        <w:t xml:space="preserve">市救灾物资储备库配套设施（市物资储备专项资金）</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JSZC-320300-YMXM-G2026-0001</w:t>
      </w:r>
      <w:r/>
    </w:p>
    <w:tbl>
      <w:tblPr>
        <w:tblStyle w:val="779"/>
        <w:tblW w:w="89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pStyle w:val="859"/>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序号</w:t>
            </w:r>
            <w:r/>
          </w:p>
        </w:tc>
        <w:tc>
          <w:tcPr>
            <w:tcW w:w="1404" w:type="dxa"/>
            <w:vAlign w:val="center"/>
            <w:textDirection w:val="lrTb"/>
            <w:noWrap w:val="false"/>
          </w:tcPr>
          <w:p>
            <w:pPr>
              <w:pStyle w:val="859"/>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偏离内容</w:t>
            </w:r>
            <w:r/>
          </w:p>
        </w:tc>
        <w:tc>
          <w:tcPr>
            <w:tcW w:w="1476" w:type="dxa"/>
            <w:vAlign w:val="center"/>
            <w:textDirection w:val="lrTb"/>
            <w:noWrap w:val="false"/>
          </w:tcPr>
          <w:p>
            <w:pPr>
              <w:pStyle w:val="859"/>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招标文件的要求</w:t>
            </w:r>
            <w:r/>
          </w:p>
        </w:tc>
        <w:tc>
          <w:tcPr>
            <w:tcW w:w="1620" w:type="dxa"/>
            <w:vAlign w:val="center"/>
            <w:textDirection w:val="lrTb"/>
            <w:noWrap w:val="false"/>
          </w:tcPr>
          <w:p>
            <w:pPr>
              <w:pStyle w:val="859"/>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投标文件中的内容</w:t>
            </w:r>
            <w:r/>
          </w:p>
        </w:tc>
        <w:tc>
          <w:tcPr>
            <w:tcW w:w="1260" w:type="dxa"/>
            <w:vAlign w:val="center"/>
            <w:textDirection w:val="lrTb"/>
            <w:noWrap w:val="false"/>
          </w:tcPr>
          <w:p>
            <w:pPr>
              <w:pStyle w:val="859"/>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（正/负/无）偏离</w:t>
            </w:r>
            <w:r/>
          </w:p>
        </w:tc>
        <w:tc>
          <w:tcPr>
            <w:tcW w:w="2340" w:type="dxa"/>
            <w:vAlign w:val="center"/>
            <w:textDirection w:val="lrTb"/>
            <w:noWrap w:val="false"/>
          </w:tcPr>
          <w:p>
            <w:pPr>
              <w:pStyle w:val="859"/>
              <w:jc w:val="center"/>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说明</w:t>
            </w:r>
            <w:r/>
          </w:p>
        </w:tc>
      </w:tr>
      <w:tr>
        <w:trPr>
          <w:trHeight w:val="794"/>
        </w:trPr>
        <w:tc>
          <w:tcPr>
            <w:tcW w:w="828"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404"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476"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62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26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234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r>
      <w:tr>
        <w:trPr>
          <w:trHeight w:val="794"/>
        </w:trPr>
        <w:tc>
          <w:tcPr>
            <w:tcW w:w="828"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404"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476"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62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26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234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r>
      <w:tr>
        <w:trPr>
          <w:trHeight w:val="794"/>
        </w:trPr>
        <w:tc>
          <w:tcPr>
            <w:tcW w:w="828"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404"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476"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62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26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234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r>
      <w:tr>
        <w:trPr>
          <w:trHeight w:val="794"/>
        </w:trPr>
        <w:tc>
          <w:tcPr>
            <w:tcW w:w="828"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404"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476"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62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26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234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r>
      <w:tr>
        <w:trPr>
          <w:trHeight w:val="794"/>
        </w:trPr>
        <w:tc>
          <w:tcPr>
            <w:tcW w:w="828"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404"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476"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62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26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234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r>
      <w:tr>
        <w:trPr>
          <w:trHeight w:val="794"/>
        </w:trPr>
        <w:tc>
          <w:tcPr>
            <w:tcW w:w="828"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404"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476"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62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26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234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r>
      <w:tr>
        <w:trPr>
          <w:trHeight w:val="794"/>
        </w:trPr>
        <w:tc>
          <w:tcPr>
            <w:tcW w:w="828"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404"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476"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62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26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234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r>
      <w:tr>
        <w:trPr>
          <w:trHeight w:val="794"/>
        </w:trPr>
        <w:tc>
          <w:tcPr>
            <w:tcW w:w="828"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404"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476"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62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126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c>
          <w:tcPr>
            <w:tcW w:w="2340" w:type="dxa"/>
            <w:vAlign w:val="top"/>
            <w:textDirection w:val="lrTb"/>
            <w:noWrap w:val="false"/>
          </w:tcPr>
          <w:p>
            <w:pPr>
              <w:spacing w:before="0" w:beforeAutospacing="0" w:after="200" w:afterAutospacing="0" w:line="360" w:lineRule="auto"/>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r>
            <w:r/>
          </w:p>
        </w:tc>
      </w:tr>
    </w:tbl>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注：投标人的投标文件中的内容与招标文件</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含招标文件的澄清或者修改的内容，下同</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的要求不同时，逐条列在偏离表中，否则将认为投标人接受招标文件的要求。</w:t>
      </w:r>
      <w:r/>
    </w:p>
    <w:p>
      <w:pPr>
        <w:ind w:left="2940" w:firstLine="3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lang w:eastAsia="zh-CN"/>
        </w:rPr>
        <w:t xml:space="preserve">）</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投标人法定代表人或授权代表：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签字或电子签章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jc w:val="center"/>
        <w:spacing w:line="360" w:lineRule="auto"/>
        <w:widowControl/>
        <w:rPr>
          <w:rFonts w:hint="eastAsia" w:ascii="宋体" w:hAnsi="宋体" w:eastAsia="宋体" w:cs="宋体"/>
          <w:color w:val="000000"/>
          <w:sz w:val="28"/>
          <w:szCs w:val="28"/>
          <w:highlight w:val="none"/>
        </w:rPr>
        <w:outlineLvl w:val="1"/>
      </w:pPr>
      <w:r>
        <w:rPr>
          <w:rFonts w:hint="eastAsia" w:ascii="宋体" w:hAnsi="宋体" w:eastAsia="宋体" w:cs="宋体"/>
          <w:bCs/>
          <w:color w:val="000000"/>
          <w:sz w:val="28"/>
          <w:szCs w:val="28"/>
          <w:highlight w:val="none"/>
        </w:rPr>
        <w:br w:type="page" w:clear="all"/>
      </w:r>
      <w:r>
        <w:rPr>
          <w:rFonts w:hint="eastAsia" w:ascii="宋体" w:hAnsi="宋体" w:eastAsia="宋体" w:cs="宋体"/>
          <w:bCs/>
          <w:color w:val="000000"/>
          <w:sz w:val="28"/>
          <w:szCs w:val="28"/>
          <w:highlight w:val="none"/>
        </w:rPr>
        <w:t xml:space="preserve">5. 授权委托书</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委托人：</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地  址：</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法定代表人：               职务：</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统一社会信用代码：</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受托人：                   性别：男（女）  </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年龄：  岁                 民族：   族</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职务：</w:t>
      </w:r>
      <w:r/>
    </w:p>
    <w:p>
      <w:pPr>
        <w:pStyle w:val="859"/>
        <w:ind w:firstLine="480"/>
        <w:jc w:val="both"/>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身份证号：</w:t>
      </w:r>
      <w:r/>
    </w:p>
    <w:p>
      <w:pPr>
        <w:ind w:left="0"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兹委托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全权代表我企业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公司</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参与</w:t>
      </w:r>
      <w:r>
        <w:rPr>
          <w:rFonts w:hint="eastAsia" w:ascii="宋体" w:hAnsi="宋体" w:eastAsia="宋体" w:cs="宋体"/>
          <w:color w:val="000000"/>
          <w:sz w:val="24"/>
          <w:highlight w:val="none"/>
          <w:u w:val="single"/>
          <w:lang w:eastAsia="zh-CN"/>
        </w:rPr>
        <w:t xml:space="preserve">市救灾物资储备库配套设施（市物资储备专项资金）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的招、投标活动及签订合同。</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以我企业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公司</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名义所为的法律行为及签署的文件，我企业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公司</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均予以认可。有关法律责任均由我企业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公司</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承担。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无转委托权。委托期限自</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日起至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日止。</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特此授权委托。</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委托人</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highlight w:val="none"/>
        </w:rPr>
        <w:t xml:space="preserve">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受托人</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highlight w:val="none"/>
        </w:rPr>
        <w:t xml:space="preserve">签字或电子签章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highlight w:val="none"/>
        </w:rPr>
        <w:t xml:space="preserve">签字或电子签章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ind w:firstLine="61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61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 </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受托人身份证复印件附后</w:t>
      </w:r>
      <w:r>
        <w:rPr>
          <w:rFonts w:hint="eastAsia" w:ascii="宋体" w:hAnsi="宋体" w:eastAsia="宋体" w:cs="宋体"/>
          <w:color w:val="000000"/>
          <w:sz w:val="24"/>
          <w:highlight w:val="none"/>
          <w:lang w:eastAsia="zh-CN"/>
        </w:rPr>
        <w:t xml:space="preserve">）</w:t>
      </w:r>
      <w:r/>
    </w:p>
    <w:p>
      <w:pPr>
        <w:jc w:val="center"/>
        <w:spacing w:line="360" w:lineRule="auto"/>
        <w:widowControl/>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 xml:space="preserve">6.中小企业声明函</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lang w:eastAsia="zh-CN"/>
        </w:rPr>
        <w:t xml:space="preserve">市救灾物资储备库配套设施（市物资储备专项资金）</w:t>
      </w:r>
      <w:r>
        <w:rPr>
          <w:rFonts w:hint="eastAsia" w:ascii="宋体" w:hAnsi="宋体" w:eastAsia="宋体" w:cs="宋体"/>
          <w:color w:val="000000"/>
          <w:sz w:val="24"/>
          <w:szCs w:val="24"/>
          <w:highlight w:val="none"/>
          <w:u w:val="single"/>
        </w:rPr>
        <w:t xml:space="preserve"> </w:t>
      </w:r>
      <w:r/>
    </w:p>
    <w:p>
      <w:pPr>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JSZC-320300-YMXM-G2026-0001</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财库</w:t>
      </w:r>
      <w:r>
        <w:rPr>
          <w:rFonts w:hint="eastAsia" w:ascii="宋体" w:hAnsi="宋体" w:eastAsia="宋体" w:cs="宋体"/>
          <w:color w:val="000000"/>
          <w:sz w:val="24"/>
          <w:szCs w:val="24"/>
          <w:highlight w:val="none"/>
          <w:lang w:eastAsia="zh-CN"/>
        </w:rPr>
        <w:t xml:space="preserve">〔2020〕46号）</w:t>
      </w:r>
      <w:r>
        <w:rPr>
          <w:rFonts w:hint="eastAsia" w:ascii="宋体" w:hAnsi="宋体" w:eastAsia="宋体" w:cs="宋体"/>
          <w:color w:val="000000"/>
          <w:sz w:val="24"/>
          <w:szCs w:val="24"/>
          <w:highlight w:val="none"/>
        </w:rPr>
        <w:t xml:space="preserve">的规定，本公司参加</w:t>
      </w:r>
      <w:r>
        <w:rPr>
          <w:rFonts w:hint="eastAsia" w:ascii="宋体" w:hAnsi="宋体" w:eastAsia="宋体" w:cs="宋体"/>
          <w:color w:val="000000"/>
          <w:sz w:val="24"/>
          <w:szCs w:val="24"/>
          <w:highlight w:val="none"/>
          <w:lang w:eastAsia="zh-CN"/>
        </w:rPr>
        <w:t xml:space="preserve">（徐州市发展和改革委员会）</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市救灾物资储备库配套设施（市物资储备专项资金））</w:t>
      </w:r>
      <w:r>
        <w:rPr>
          <w:rFonts w:hint="eastAsia" w:ascii="宋体" w:hAnsi="宋体" w:eastAsia="宋体" w:cs="宋体"/>
          <w:color w:val="000000"/>
          <w:sz w:val="24"/>
          <w:szCs w:val="24"/>
          <w:highlight w:val="none"/>
        </w:rPr>
        <w:t xml:space="preserve">采购活动，提供的货物全部由符合政策要求的中小企业制造。相关企业的具体情况如下：</w:t>
      </w:r>
      <w:r/>
    </w:p>
    <w:p>
      <w:pPr>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工业</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）（企业名称），从业人员（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b/>
          <w:bCs/>
          <w:color w:val="000000"/>
          <w:sz w:val="24"/>
          <w:szCs w:val="24"/>
          <w:highlight w:val="none"/>
        </w:rPr>
        <w:t xml:space="preserve">属于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□中型企业、□小型企业、□微型企业，请勾选！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pStyle w:val="803"/>
        <w:numPr>
          <w:ilvl w:val="0"/>
          <w:numId w:val="0"/>
        </w:numPr>
        <w:ind w:right="6"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工业</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）（企业名称），从业人员（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b/>
          <w:bCs/>
          <w:color w:val="000000"/>
          <w:sz w:val="24"/>
          <w:szCs w:val="24"/>
          <w:highlight w:val="none"/>
        </w:rPr>
        <w:t xml:space="preserve">属于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□中型企业、□小型企业、□微型企业，请勾选！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pStyle w:val="803"/>
        <w:numPr>
          <w:ilvl w:val="0"/>
          <w:numId w:val="0"/>
        </w:numPr>
        <w:ind w:right="6"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工业</w:t>
      </w:r>
      <w:r>
        <w:rPr>
          <w:rFonts w:hint="eastAsia" w:ascii="宋体" w:hAnsi="宋体" w:eastAsia="宋体" w:cs="宋体"/>
          <w:color w:val="000000"/>
          <w:sz w:val="24"/>
          <w:szCs w:val="24"/>
          <w:highlight w:val="none"/>
        </w:rPr>
        <w:t xml:space="preserve">）行业；制造商为（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）（企业名称），从业人员（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b/>
          <w:bCs/>
          <w:color w:val="000000"/>
          <w:sz w:val="24"/>
          <w:szCs w:val="24"/>
          <w:highlight w:val="none"/>
        </w:rPr>
        <w:t xml:space="preserve">属于</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□中型企业、□小型企业、□微型企业，请勾选！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pStyle w:val="81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p>
    <w:p>
      <w:pPr>
        <w:pStyle w:val="810"/>
        <w:ind w:left="0"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以上企业，不属于大企业的分支机构，不存在控股股东为大企业的情形，也不存在与大企业的负责人为同一人的情形。</w:t>
      </w:r>
      <w:r/>
    </w:p>
    <w:p>
      <w:pPr>
        <w:pStyle w:val="81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w:t>
      </w:r>
      <w:r/>
    </w:p>
    <w:p>
      <w:pPr>
        <w:ind w:firstLine="480"/>
        <w:jc w:val="left"/>
        <w:spacing w:line="360" w:lineRule="auto"/>
        <w:widowControl/>
        <w:rPr>
          <w:rFonts w:hint="eastAsia" w:ascii="宋体" w:hAnsi="宋体" w:eastAsia="宋体" w:cs="宋体"/>
          <w:color w:val="000000"/>
          <w:sz w:val="24"/>
          <w:szCs w:val="22"/>
          <w:highlight w:val="none"/>
          <w:lang w:val="en-US" w:eastAsia="en-US" w:bidi="ar-SA"/>
        </w:rPr>
      </w:pPr>
      <w:r>
        <w:rPr>
          <w:rFonts w:hint="eastAsia" w:ascii="宋体" w:hAnsi="宋体" w:eastAsia="宋体" w:cs="宋体"/>
          <w:color w:val="000000"/>
          <w:sz w:val="24"/>
          <w:szCs w:val="22"/>
          <w:highlight w:val="none"/>
          <w:lang w:val="en-US" w:eastAsia="en-US" w:bidi="ar-SA"/>
        </w:rPr>
        <w:t xml:space="preserve">注：本项目采购的货物属于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工</w:t>
      </w:r>
      <w:r>
        <w:rPr>
          <w:rFonts w:hint="eastAsia" w:ascii="宋体" w:hAnsi="宋体" w:eastAsia="宋体" w:cs="宋体"/>
          <w:color w:val="000000"/>
          <w:sz w:val="24"/>
          <w:szCs w:val="24"/>
          <w:highlight w:val="none"/>
          <w:u w:val="single"/>
        </w:rPr>
        <w:t xml:space="preserve">业）行业</w:t>
      </w:r>
      <w:r>
        <w:rPr>
          <w:rFonts w:hint="eastAsia" w:ascii="宋体" w:hAnsi="宋体" w:eastAsia="宋体" w:cs="宋体"/>
          <w:color w:val="000000"/>
          <w:sz w:val="24"/>
          <w:szCs w:val="22"/>
          <w:highlight w:val="none"/>
          <w:lang w:val="en-US" w:eastAsia="en-US" w:bidi="ar-SA"/>
        </w:rPr>
        <w:t xml:space="preserve">。</w:t>
      </w:r>
      <w:r/>
    </w:p>
    <w:p>
      <w:pPr>
        <w:ind w:firstLine="31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企业名称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360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pStyle w:val="810"/>
        <w:ind w:left="0"/>
        <w:jc w:val="left"/>
        <w:spacing w:after="0" w:line="324"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10"/>
        <w:ind w:left="0"/>
        <w:jc w:val="left"/>
        <w:spacing w:after="0" w:line="324"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10"/>
        <w:ind w:left="0"/>
        <w:jc w:val="left"/>
        <w:spacing w:after="0" w:line="324" w:lineRule="auto"/>
        <w:rPr>
          <w:rFonts w:hint="eastAsia"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说明：</w:t>
      </w:r>
      <w:r/>
    </w:p>
    <w:p>
      <w:pPr>
        <w:pStyle w:val="810"/>
        <w:ind w:left="0"/>
        <w:spacing w:after="0" w:line="324"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10"/>
        <w:ind w:left="0"/>
        <w:spacing w:after="0" w:line="324"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2、从业人员、营业收入、资产总额填报供应商上一年度数据，无上一年度数据的新成立企业可不填报。</w:t>
      </w:r>
      <w:r/>
    </w:p>
    <w:p>
      <w:pPr>
        <w:pStyle w:val="810"/>
        <w:ind w:left="0"/>
        <w:spacing w:after="0" w:line="324"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3、中标、成交供应商为小型、微型企业的，采购人或者其委托的采购代理机构有权随中标、成交结果同时公告其《中小企业声明函》，接受社会监督。</w:t>
      </w:r>
      <w:r/>
    </w:p>
    <w:p>
      <w:pPr>
        <w:pStyle w:val="810"/>
        <w:ind w:left="0"/>
        <w:spacing w:after="0" w:line="324"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4、执行江苏省财政厅关于进一步加大政府采购支持中小企业力度的通知（苏财购〔2022〕45号）的规定。</w:t>
      </w:r>
      <w:r/>
    </w:p>
    <w:p>
      <w:pPr>
        <w:pStyle w:val="810"/>
        <w:spacing w:line="360" w:lineRule="auto"/>
        <w:rPr>
          <w:rFonts w:hint="eastAsia" w:ascii="宋体" w:hAnsi="宋体" w:eastAsia="宋体" w:cs="宋体"/>
          <w:color w:val="000000"/>
          <w:sz w:val="24"/>
          <w:highlight w:val="none"/>
        </w:rPr>
      </w:pPr>
      <w:r>
        <w:rPr>
          <w:rFonts w:hint="eastAsia" w:ascii="宋体" w:hAnsi="宋体" w:cs="宋体"/>
          <w:b/>
          <w:bCs/>
          <w:color w:val="000000"/>
          <w:sz w:val="24"/>
          <w:highlight w:val="none"/>
        </w:rPr>
        <w:t xml:space="preserve">5、供应商提供的《中小企业声明函》与事实不符的，依照《政府采购法》第七十七条第一款的规定追究法律责任。</w:t>
      </w:r>
      <w:r/>
    </w:p>
    <w:p>
      <w:pPr>
        <w:jc w:val="center"/>
        <w:spacing w:before="100" w:beforeAutospacing="1" w:after="100" w:afterAutospacing="1" w:line="240" w:lineRule="auto"/>
        <w:widowControl/>
        <w:rPr>
          <w:rFonts w:hint="eastAsia" w:ascii="宋体" w:hAnsi="宋体" w:eastAsia="宋体" w:cs="宋体"/>
          <w:color w:val="000000"/>
          <w:sz w:val="24"/>
          <w:highlight w:val="none"/>
        </w:rPr>
        <w:outlineLvl w:val="2"/>
      </w:pPr>
      <w:r>
        <w:rPr>
          <w:rFonts w:hint="eastAsia" w:ascii="宋体" w:hAnsi="宋体" w:eastAsia="宋体" w:cs="宋体"/>
          <w:color w:val="000000"/>
          <w:sz w:val="24"/>
          <w:highlight w:val="none"/>
        </w:rPr>
        <w:t xml:space="preserve">中小企业规模类型自测小程序</w:t>
      </w:r>
      <w:r/>
    </w:p>
    <w:p>
      <w:pPr>
        <w:pStyle w:val="832"/>
        <w:ind w:firstLine="640"/>
        <w:jc w:val="both"/>
        <w:spacing w:beforeAutospacing="0" w:afterAutospacing="0" w:line="240" w:lineRule="auto"/>
        <w:shd w:val="clear" w:color="auto" w:fill="ffffff"/>
        <w:rPr>
          <w:rFonts w:hint="eastAsia" w:ascii="宋体" w:hAnsi="宋体" w:eastAsia="宋体" w:cs="宋体"/>
          <w:color w:val="000000"/>
          <w:spacing w:val="8"/>
          <w:highlight w:val="none"/>
          <w:shd w:val="clear" w:color="auto" w:fill="ffffff"/>
        </w:rPr>
      </w:pPr>
      <w:r>
        <w:rPr>
          <w:rFonts w:hint="eastAsia" w:ascii="宋体" w:hAnsi="宋体" w:eastAsia="宋体" w:cs="宋体"/>
          <w:color w:val="000000"/>
          <w:spacing w:val="8"/>
          <w:highlight w:val="none"/>
          <w:shd w:val="clear" w:color="auto" w:fill="ffffff"/>
        </w:rPr>
        <w:t xml:space="preserve">查询渠道用微信搜索“中小企业规模类型自测小程序”。看下列截图。</w:t>
      </w:r>
      <w:r/>
    </w:p>
    <w:p>
      <w:pPr>
        <w:pStyle w:val="832"/>
        <w:ind w:firstLine="640"/>
        <w:jc w:val="center"/>
        <w:spacing w:beforeAutospacing="0" w:afterAutospacing="0" w:line="360" w:lineRule="auto"/>
        <w:shd w:val="clear" w:color="auto" w:fill="ffffff"/>
        <w:rPr>
          <w:rFonts w:hint="eastAsia" w:ascii="宋体" w:hAnsi="宋体" w:eastAsia="宋体" w:cs="宋体"/>
          <w:b/>
          <w:bCs/>
          <w:color w:val="000000"/>
          <w:spacing w:val="8"/>
          <w:highlight w:val="none"/>
          <w:shd w:val="clear" w:color="auto" w:fill="ffffff"/>
          <w:lang w:eastAsia="zh-CN"/>
        </w:rPr>
      </w:pPr>
      <w:r>
        <w:rPr>
          <w:rFonts w:hint="eastAsia" w:ascii="宋体" w:hAnsi="宋体" w:eastAsia="宋体" w:cs="宋体"/>
          <w:b/>
          <w:bCs/>
          <w:color w:val="000000"/>
          <w:spacing w:val="8"/>
          <w:highlight w:val="none"/>
          <w:shd w:val="clear" w:color="auto" w:fill="ffffff"/>
          <w:lang w:eastAsia="zh-CN"/>
        </w:rPr>
        <mc:AlternateContent>
          <mc:Choice Requires="wpg">
            <w:drawing>
              <wp:inline xmlns:wp="http://schemas.openxmlformats.org/drawingml/2006/wordprocessingDrawing" distT="0" distB="0" distL="0" distR="0">
                <wp:extent cx="2426335" cy="498602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rcRect l="0" t="5054" r="0" b="0"/>
                        <a:stretch/>
                      </pic:blipFill>
                      <pic:spPr bwMode="auto">
                        <a:xfrm>
                          <a:off x="0" y="0"/>
                          <a:ext cx="2426462" cy="4986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1.0pt;height:392.6pt;mso-wrap-distance-left:0.0pt;mso-wrap-distance-top:0.0pt;mso-wrap-distance-right:0.0pt;mso-wrap-distance-bottom:0.0pt;" stroked="f">
                <v:path textboxrect="0,0,0,0"/>
                <v:imagedata r:id="rId14" o:title=""/>
              </v:shape>
            </w:pict>
          </mc:Fallback>
        </mc:AlternateContent>
      </w:r>
      <w:r/>
    </w:p>
    <w:p>
      <w:pPr>
        <w:pStyle w:val="832"/>
        <w:jc w:val="center"/>
        <w:spacing w:beforeAutospacing="0" w:afterAutospacing="0" w:line="360" w:lineRule="auto"/>
        <w:shd w:val="clear" w:color="auto" w:fill="ffffff"/>
        <w:rPr>
          <w:rFonts w:hint="eastAsia" w:ascii="宋体" w:hAnsi="宋体" w:eastAsia="宋体" w:cs="宋体"/>
          <w:color w:val="000000"/>
          <w:sz w:val="28"/>
          <w:szCs w:val="28"/>
          <w:highlight w:val="none"/>
        </w:rPr>
      </w:pPr>
      <w:r>
        <w:rPr>
          <w:rFonts w:hint="eastAsia" w:ascii="宋体" w:hAnsi="宋体" w:eastAsia="宋体" w:cs="宋体"/>
          <w:b/>
          <w:bCs/>
          <w:color w:val="000000"/>
          <w:spacing w:val="8"/>
          <w:highlight w:val="none"/>
          <w:shd w:val="clear" w:color="auto" w:fill="ffffff"/>
          <w:lang w:eastAsia="zh-CN"/>
        </w:rPr>
        <w:br w:type="page" w:clear="all"/>
      </w:r>
      <w:r>
        <w:rPr>
          <w:rFonts w:hint="eastAsia" w:ascii="宋体" w:hAnsi="宋体" w:eastAsia="宋体" w:cs="宋体"/>
          <w:color w:val="000000"/>
          <w:sz w:val="28"/>
          <w:szCs w:val="28"/>
          <w:highlight w:val="none"/>
        </w:rPr>
        <w:t xml:space="preserve">7. 投标人参加政府采购活动前3年内在经营活动中没有重大违法记录的书面声明</w:t>
      </w:r>
      <w:r/>
    </w:p>
    <w:p>
      <w:pPr>
        <w:jc w:val="center"/>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我单位在参加</w:t>
      </w:r>
      <w:r>
        <w:rPr>
          <w:rFonts w:hint="eastAsia" w:ascii="宋体" w:hAnsi="宋体" w:eastAsia="宋体" w:cs="宋体"/>
          <w:color w:val="000000"/>
          <w:spacing w:val="6"/>
          <w:sz w:val="24"/>
          <w:highlight w:val="none"/>
          <w:lang w:eastAsia="zh-CN"/>
        </w:rPr>
        <w:t xml:space="preserve">（</w:t>
      </w:r>
      <w:r>
        <w:rPr>
          <w:rFonts w:hint="eastAsia" w:ascii="宋体" w:hAnsi="宋体" w:eastAsia="宋体" w:cs="宋体"/>
          <w:color w:val="000000"/>
          <w:spacing w:val="6"/>
          <w:sz w:val="24"/>
          <w:highlight w:val="none"/>
          <w:u w:val="single"/>
          <w:lang w:eastAsia="zh-CN"/>
        </w:rPr>
        <w:t xml:space="preserve">市救灾物资储备库配套设施（市物资储备专项资金）</w:t>
      </w:r>
      <w:r>
        <w:rPr>
          <w:rFonts w:hint="eastAsia" w:ascii="宋体" w:hAnsi="宋体" w:eastAsia="宋体" w:cs="宋体"/>
          <w:color w:val="000000"/>
          <w:spacing w:val="6"/>
          <w:sz w:val="24"/>
          <w:highlight w:val="none"/>
          <w:lang w:eastAsia="zh-CN"/>
        </w:rPr>
        <w:t xml:space="preserve">）</w:t>
      </w:r>
      <w:r>
        <w:rPr>
          <w:rFonts w:hint="eastAsia" w:ascii="宋体" w:hAnsi="宋体" w:eastAsia="宋体" w:cs="宋体"/>
          <w:color w:val="000000"/>
          <w:spacing w:val="6"/>
          <w:sz w:val="24"/>
          <w:highlight w:val="none"/>
        </w:rPr>
        <w:t xml:space="preserve">项目</w:t>
      </w:r>
      <w:r>
        <w:rPr>
          <w:rFonts w:hint="eastAsia" w:ascii="宋体" w:hAnsi="宋体" w:eastAsia="宋体" w:cs="宋体"/>
          <w:color w:val="000000"/>
          <w:spacing w:val="6"/>
          <w:sz w:val="24"/>
          <w:highlight w:val="none"/>
          <w:lang w:eastAsia="zh-CN"/>
        </w:rPr>
        <w:t xml:space="preserve">（</w:t>
      </w:r>
      <w:r>
        <w:rPr>
          <w:rFonts w:hint="eastAsia" w:ascii="宋体" w:hAnsi="宋体" w:eastAsia="宋体" w:cs="宋体"/>
          <w:color w:val="000000"/>
          <w:spacing w:val="6"/>
          <w:sz w:val="24"/>
          <w:highlight w:val="none"/>
        </w:rPr>
        <w:t xml:space="preserve">项目编号：</w:t>
      </w:r>
      <w:r>
        <w:rPr>
          <w:rFonts w:hint="eastAsia" w:ascii="宋体" w:hAnsi="宋体" w:eastAsia="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lang w:eastAsia="zh-CN"/>
        </w:rPr>
        <w:t xml:space="preserve">）</w:t>
      </w:r>
      <w:r>
        <w:rPr>
          <w:rFonts w:hint="eastAsia" w:ascii="宋体" w:hAnsi="宋体" w:eastAsia="宋体" w:cs="宋体"/>
          <w:color w:val="000000"/>
          <w:spacing w:val="6"/>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832"/>
        <w:ind w:firstLine="60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我单位对上述声明的真实性负责。如有虚假，将依法承担相应责任。</w:t>
      </w:r>
      <w:r/>
    </w:p>
    <w:p>
      <w:pPr>
        <w:ind w:firstLine="60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2940" w:firstLine="3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lang w:eastAsia="zh-CN"/>
        </w:rPr>
        <w:t xml:space="preserve">）</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投标人法定代表人或授权代表：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签字或电子签章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ind w:firstLine="45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spacing w:line="360" w:lineRule="auto"/>
        <w:widowControl/>
        <w:rPr>
          <w:rFonts w:hint="eastAsia" w:ascii="宋体" w:hAnsi="宋体" w:eastAsia="宋体" w:cs="宋体"/>
          <w:color w:val="000000"/>
          <w:spacing w:val="6"/>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 xml:space="preserve">8.</w:t>
      </w:r>
      <w:bookmarkStart w:id="7" w:name="OLE_LINK14"/>
      <w:r/>
      <w:bookmarkStart w:id="8" w:name="OLE_LINK13"/>
      <w:r>
        <w:rPr>
          <w:rFonts w:hint="eastAsia" w:ascii="宋体" w:hAnsi="宋体" w:eastAsia="宋体" w:cs="宋体"/>
          <w:color w:val="000000"/>
          <w:spacing w:val="6"/>
          <w:sz w:val="28"/>
          <w:szCs w:val="28"/>
          <w:highlight w:val="none"/>
        </w:rPr>
        <w:t xml:space="preserve"> 残疾人福利性单位声明函</w:t>
      </w:r>
      <w:bookmarkEnd w:id="7"/>
      <w:r/>
      <w:bookmarkEnd w:id="8"/>
      <w:r/>
      <w:r/>
    </w:p>
    <w:p>
      <w:pPr>
        <w:jc w:val="center"/>
        <w:spacing w:line="360" w:lineRule="auto"/>
        <w:rPr>
          <w:rFonts w:hint="eastAsia" w:ascii="宋体" w:hAnsi="宋体" w:eastAsia="宋体" w:cs="宋体"/>
          <w:color w:val="000000"/>
          <w:sz w:val="28"/>
          <w:szCs w:val="28"/>
          <w:highlight w:val="none"/>
        </w:rPr>
      </w:pPr>
      <w:r>
        <w:rPr>
          <w:rFonts w:hint="eastAsia" w:ascii="宋体" w:hAnsi="宋体" w:cs="宋体"/>
          <w:color w:val="000000"/>
          <w:spacing w:val="6"/>
          <w:sz w:val="24"/>
          <w:highlight w:val="none"/>
        </w:rPr>
        <w:t xml:space="preserve">（如投标人不属于残疾人福利性单位不需要提供此声明函）</w:t>
      </w:r>
      <w:r/>
    </w:p>
    <w:p>
      <w:pPr>
        <w:spacing w:line="240" w:lineRule="auto"/>
        <w:rPr>
          <w:rFonts w:hint="eastAsia" w:ascii="宋体" w:hAnsi="宋体" w:eastAsia="宋体" w:cs="宋体"/>
          <w:color w:val="000000"/>
          <w:sz w:val="10"/>
          <w:szCs w:val="10"/>
          <w:highlight w:val="none"/>
        </w:rPr>
      </w:pPr>
      <w:r>
        <w:rPr>
          <w:rFonts w:hint="eastAsia" w:ascii="宋体" w:hAnsi="宋体" w:eastAsia="宋体" w:cs="宋体"/>
          <w:color w:val="000000"/>
          <w:sz w:val="10"/>
          <w:szCs w:val="10"/>
          <w:highlight w:val="none"/>
        </w:rPr>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u w:val="single"/>
          <w:lang w:eastAsia="zh-CN"/>
        </w:rPr>
        <w:t xml:space="preserve">市救灾物资储备库配套设施（市物资储备专项资金）</w:t>
      </w:r>
      <w:r>
        <w:rPr>
          <w:rFonts w:hint="eastAsia" w:ascii="宋体" w:hAnsi="宋体" w:eastAsia="宋体" w:cs="宋体"/>
          <w:color w:val="000000"/>
          <w:sz w:val="24"/>
          <w:highlight w:val="none"/>
          <w:u w:val="single"/>
        </w:rPr>
        <w:t xml:space="preserve"> </w:t>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JSZC-320300-YMXM-G2026-0001</w:t>
      </w:r>
      <w:r/>
    </w:p>
    <w:p>
      <w:pPr>
        <w:spacing w:line="240" w:lineRule="auto"/>
        <w:rPr>
          <w:rFonts w:hint="eastAsia" w:ascii="宋体" w:hAnsi="宋体" w:eastAsia="宋体" w:cs="宋体"/>
          <w:color w:val="000000"/>
          <w:spacing w:val="6"/>
          <w:sz w:val="10"/>
          <w:szCs w:val="10"/>
          <w:highlight w:val="none"/>
        </w:rPr>
      </w:pPr>
      <w:r>
        <w:rPr>
          <w:rFonts w:hint="eastAsia" w:ascii="宋体" w:hAnsi="宋体" w:eastAsia="宋体" w:cs="宋体"/>
          <w:color w:val="000000"/>
          <w:spacing w:val="6"/>
          <w:sz w:val="10"/>
          <w:szCs w:val="10"/>
          <w:highlight w:val="none"/>
        </w:rPr>
      </w:r>
      <w:r/>
    </w:p>
    <w:p>
      <w:pPr>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w:t>
      </w:r>
      <w:r>
        <w:rPr>
          <w:rFonts w:hint="eastAsia" w:ascii="宋体" w:hAnsi="宋体" w:eastAsia="宋体" w:cs="宋体"/>
          <w:color w:val="000000"/>
          <w:spacing w:val="6"/>
          <w:sz w:val="24"/>
          <w:highlight w:val="none"/>
          <w:lang w:eastAsia="zh-CN"/>
        </w:rPr>
        <w:t xml:space="preserve">（</w:t>
      </w:r>
      <w:r>
        <w:rPr>
          <w:rFonts w:hint="eastAsia" w:ascii="宋体" w:hAnsi="宋体" w:eastAsia="宋体" w:cs="宋体"/>
          <w:color w:val="000000"/>
          <w:spacing w:val="6"/>
          <w:sz w:val="24"/>
          <w:highlight w:val="none"/>
        </w:rPr>
        <w:t xml:space="preserve">财库</w:t>
      </w:r>
      <w:r>
        <w:rPr>
          <w:rFonts w:hint="eastAsia" w:ascii="宋体" w:hAnsi="宋体" w:eastAsia="宋体" w:cs="宋体"/>
          <w:color w:val="000000"/>
          <w:spacing w:val="6"/>
          <w:sz w:val="24"/>
          <w:highlight w:val="none"/>
          <w:lang w:eastAsia="zh-CN"/>
        </w:rPr>
        <w:t xml:space="preserve">〔2017〕141号）</w:t>
      </w:r>
      <w:r>
        <w:rPr>
          <w:rFonts w:hint="eastAsia" w:ascii="宋体" w:hAnsi="宋体" w:eastAsia="宋体" w:cs="宋体"/>
          <w:color w:val="000000"/>
          <w:spacing w:val="6"/>
          <w:sz w:val="24"/>
          <w:highlight w:val="none"/>
        </w:rPr>
        <w:t xml:space="preserve">的规定，本单位为符合条件的残疾人福利性单位，且本单位参加</w:t>
      </w:r>
      <w:r>
        <w:rPr>
          <w:rFonts w:hint="eastAsia" w:ascii="宋体" w:hAnsi="宋体" w:eastAsia="宋体" w:cs="宋体"/>
          <w:color w:val="000000"/>
          <w:sz w:val="24"/>
          <w:highlight w:val="none"/>
          <w:u w:val="single"/>
          <w:lang w:eastAsia="zh-CN"/>
        </w:rPr>
        <w:t xml:space="preserve">徐州市发展和改革委员会</w:t>
      </w:r>
      <w:r>
        <w:rPr>
          <w:rFonts w:hint="eastAsia" w:ascii="宋体" w:hAnsi="宋体" w:eastAsia="宋体" w:cs="宋体"/>
          <w:color w:val="000000"/>
          <w:spacing w:val="6"/>
          <w:sz w:val="24"/>
          <w:highlight w:val="none"/>
        </w:rPr>
        <w:t xml:space="preserve">的</w:t>
      </w:r>
      <w:r>
        <w:rPr>
          <w:rFonts w:hint="eastAsia" w:ascii="宋体" w:hAnsi="宋体" w:eastAsia="宋体" w:cs="宋体"/>
          <w:color w:val="000000"/>
          <w:sz w:val="24"/>
          <w:highlight w:val="none"/>
          <w:u w:val="single"/>
          <w:lang w:eastAsia="zh-CN"/>
        </w:rPr>
        <w:t xml:space="preserve">市救灾物资储备库配套设施（市物资储备专项资金）</w:t>
      </w:r>
      <w:r>
        <w:rPr>
          <w:rFonts w:hint="eastAsia" w:ascii="宋体" w:hAnsi="宋体" w:eastAsia="宋体" w:cs="宋体"/>
          <w:color w:val="000000"/>
          <w:spacing w:val="6"/>
          <w:sz w:val="24"/>
          <w:highlight w:val="none"/>
        </w:rPr>
        <w:t xml:space="preserve">项目采购活动提供本单位制造的货物</w:t>
      </w:r>
      <w:r>
        <w:rPr>
          <w:rFonts w:hint="eastAsia" w:ascii="宋体" w:hAnsi="宋体" w:eastAsia="宋体" w:cs="宋体"/>
          <w:color w:val="000000"/>
          <w:spacing w:val="6"/>
          <w:sz w:val="24"/>
          <w:highlight w:val="none"/>
          <w:lang w:eastAsia="zh-CN"/>
        </w:rPr>
        <w:t xml:space="preserve">（</w:t>
      </w:r>
      <w:r>
        <w:rPr>
          <w:rFonts w:hint="eastAsia" w:ascii="宋体" w:hAnsi="宋体" w:eastAsia="宋体" w:cs="宋体"/>
          <w:color w:val="000000"/>
          <w:spacing w:val="6"/>
          <w:sz w:val="24"/>
          <w:highlight w:val="none"/>
        </w:rPr>
        <w:t xml:space="preserve">由本单位承担工程/提供服务</w:t>
      </w:r>
      <w:r>
        <w:rPr>
          <w:rFonts w:hint="eastAsia" w:ascii="宋体" w:hAnsi="宋体" w:eastAsia="宋体" w:cs="宋体"/>
          <w:color w:val="000000"/>
          <w:spacing w:val="6"/>
          <w:sz w:val="24"/>
          <w:highlight w:val="none"/>
          <w:lang w:eastAsia="zh-CN"/>
        </w:rPr>
        <w:t xml:space="preserve">）</w:t>
      </w:r>
      <w:r>
        <w:rPr>
          <w:rFonts w:hint="eastAsia" w:ascii="宋体" w:hAnsi="宋体" w:eastAsia="宋体" w:cs="宋体"/>
          <w:color w:val="000000"/>
          <w:spacing w:val="6"/>
          <w:sz w:val="24"/>
          <w:highlight w:val="none"/>
        </w:rPr>
        <w:t xml:space="preserve">，或者提供其他残疾人福利性单位制造的货物</w:t>
      </w:r>
      <w:r>
        <w:rPr>
          <w:rFonts w:hint="eastAsia" w:ascii="宋体" w:hAnsi="宋体" w:eastAsia="宋体" w:cs="宋体"/>
          <w:color w:val="000000"/>
          <w:spacing w:val="6"/>
          <w:sz w:val="24"/>
          <w:highlight w:val="none"/>
          <w:lang w:eastAsia="zh-CN"/>
        </w:rPr>
        <w:t xml:space="preserve">（</w:t>
      </w:r>
      <w:r>
        <w:rPr>
          <w:rFonts w:hint="eastAsia" w:ascii="宋体" w:hAnsi="宋体" w:eastAsia="宋体" w:cs="宋体"/>
          <w:color w:val="000000"/>
          <w:spacing w:val="6"/>
          <w:sz w:val="24"/>
          <w:highlight w:val="none"/>
        </w:rPr>
        <w:t xml:space="preserve">不包括使用非残疾人福利性单位注册商标的货物</w:t>
      </w:r>
      <w:r>
        <w:rPr>
          <w:rFonts w:hint="eastAsia" w:ascii="宋体" w:hAnsi="宋体" w:eastAsia="宋体" w:cs="宋体"/>
          <w:color w:val="000000"/>
          <w:spacing w:val="6"/>
          <w:sz w:val="24"/>
          <w:highlight w:val="none"/>
          <w:lang w:eastAsia="zh-CN"/>
        </w:rPr>
        <w:t xml:space="preserve">）</w:t>
      </w:r>
      <w:r>
        <w:rPr>
          <w:rFonts w:hint="eastAsia" w:ascii="宋体" w:hAnsi="宋体" w:eastAsia="宋体" w:cs="宋体"/>
          <w:color w:val="000000"/>
          <w:spacing w:val="6"/>
          <w:sz w:val="24"/>
          <w:highlight w:val="none"/>
        </w:rPr>
        <w:t xml:space="preserve">。</w:t>
      </w:r>
      <w:r/>
    </w:p>
    <w:p>
      <w:pPr>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ind w:left="2940" w:firstLine="37"/>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电子签章</w:t>
      </w:r>
      <w:r>
        <w:rPr>
          <w:rFonts w:hint="eastAsia" w:ascii="宋体" w:hAnsi="宋体" w:eastAsia="宋体" w:cs="宋体"/>
          <w:color w:val="000000"/>
          <w:sz w:val="24"/>
          <w:highlight w:val="none"/>
          <w:lang w:eastAsia="zh-CN"/>
        </w:rPr>
        <w:t xml:space="preserve">）</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投标人法定代表人或授权代表：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签字或电子签章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ind w:left="2940" w:firstLine="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p>
    <w:p>
      <w:pPr>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供应商提供的《残疾人福利性单位声明函》与事实不符的，依照《</w:t>
      </w:r>
      <w:r>
        <w:rPr>
          <w:rFonts w:hint="eastAsia" w:ascii="宋体" w:hAnsi="宋体" w:eastAsia="宋体" w:cs="宋体"/>
          <w:color w:val="000000"/>
          <w:sz w:val="24"/>
          <w:highlight w:val="none"/>
          <w:lang w:eastAsia="zh-CN"/>
        </w:rPr>
        <w:t xml:space="preserve">中华人民共和国政府采购法</w:t>
      </w:r>
      <w:r>
        <w:rPr>
          <w:rFonts w:hint="eastAsia" w:ascii="宋体" w:hAnsi="宋体" w:eastAsia="宋体" w:cs="宋体"/>
          <w:color w:val="000000"/>
          <w:sz w:val="24"/>
          <w:highlight w:val="none"/>
        </w:rPr>
        <w:t xml:space="preserve">》第七十七条第一款的规定追究法律责任。</w:t>
      </w:r>
      <w:r/>
    </w:p>
    <w:p>
      <w:pPr>
        <w:pStyle w:val="832"/>
        <w:ind w:left="0" w:right="0"/>
        <w:jc w:val="center"/>
        <w:keepLines w:val="0"/>
        <w:keepNext w:val="0"/>
        <w:spacing w:before="0" w:beforeAutospacing="0" w:after="0" w:afterAutospacing="0" w:line="360" w:lineRule="auto"/>
        <w:widowControl/>
        <w:rPr>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8"/>
          <w:szCs w:val="28"/>
          <w:highlight w:val="none"/>
          <w:lang w:val="en-US" w:eastAsia="zh-CN"/>
        </w:rPr>
        <w:br w:type="page" w:clear="all"/>
      </w:r>
      <w:r>
        <w:rPr>
          <w:rFonts w:hint="eastAsia"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rPr>
        <w:t xml:space="preserve">、具备履行合同所必需的设备和专业技术能力的书面声明格式</w:t>
      </w:r>
      <w:r/>
    </w:p>
    <w:p>
      <w:pPr>
        <w:pStyle w:val="832"/>
        <w:jc w:val="center"/>
        <w:keepLines w:val="0"/>
        <w:keepNext w:val="0"/>
        <w:spacing w:before="0" w:beforeAutospacing="0" w:after="0" w:afterAutospacing="0"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（附证明材料原件的扫描件）（投标人可自行拟定）</w:t>
      </w:r>
      <w:r/>
    </w:p>
    <w:p>
      <w:pPr>
        <w:pStyle w:val="832"/>
        <w:jc w:val="both"/>
        <w:keepLines w:val="0"/>
        <w:keepNext w:val="0"/>
        <w:spacing w:before="0" w:beforeAutospacing="0" w:after="0" w:afterAutospacing="0" w:line="36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4"/>
          <w:szCs w:val="24"/>
          <w:highlight w:val="none"/>
        </w:rPr>
        <w:t xml:space="preserve"> </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en-US" w:bidi="ar-SA"/>
        </w:rPr>
        <w:t xml:space="preserve">项目名称：</w:t>
      </w:r>
      <w:r>
        <w:rPr>
          <w:rFonts w:hint="eastAsia" w:eastAsia="宋体" w:cs="宋体"/>
          <w:color w:val="000000"/>
          <w:spacing w:val="6"/>
          <w:sz w:val="24"/>
          <w:szCs w:val="24"/>
          <w:highlight w:val="none"/>
          <w:lang w:val="en-US" w:eastAsia="zh-CN" w:bidi="ar-SA"/>
        </w:rPr>
        <w:t xml:space="preserve">市救灾物资储备库配套设施（市物资储备专项资金）</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en-US" w:bidi="ar-SA"/>
        </w:rPr>
        <w:t xml:space="preserve">项目编号：</w:t>
      </w:r>
      <w:r>
        <w:rPr>
          <w:rFonts w:hint="eastAsia" w:eastAsia="宋体" w:cs="宋体"/>
          <w:color w:val="000000"/>
          <w:sz w:val="24"/>
          <w:highlight w:val="none"/>
          <w:lang w:eastAsia="zh-CN"/>
        </w:rPr>
        <w:t xml:space="preserve">JSZC-320300-YMXM-G2026-0001</w:t>
      </w:r>
      <w:r>
        <w:rPr>
          <w:rFonts w:hint="eastAsia" w:ascii="宋体" w:hAnsi="宋体" w:eastAsia="宋体" w:cs="宋体"/>
          <w:color w:val="000000"/>
          <w:spacing w:val="6"/>
          <w:sz w:val="24"/>
          <w:szCs w:val="24"/>
          <w:highlight w:val="none"/>
          <w:lang w:val="en-US" w:eastAsia="en-US" w:bidi="ar-SA"/>
        </w:rPr>
        <w:t xml:space="preserve"> </w:t>
      </w:r>
      <w:r/>
    </w:p>
    <w:p>
      <w:pPr>
        <w:pStyle w:val="832"/>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en-US" w:bidi="ar-SA"/>
        </w:rPr>
        <w:t xml:space="preserve"> </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en-US" w:bidi="ar-SA"/>
        </w:rPr>
        <w:t xml:space="preserve">投标人郑重声明：投标人具备履行合同（项目名称：</w:t>
      </w:r>
      <w:r>
        <w:rPr>
          <w:rFonts w:hint="eastAsia" w:eastAsia="宋体" w:cs="宋体"/>
          <w:color w:val="000000"/>
          <w:spacing w:val="6"/>
          <w:sz w:val="24"/>
          <w:szCs w:val="24"/>
          <w:highlight w:val="none"/>
          <w:lang w:val="en-US" w:eastAsia="zh-CN" w:bidi="ar-SA"/>
        </w:rPr>
        <w:t xml:space="preserve">市救灾物资储备库配套设施（市物资储备专项资金）</w:t>
      </w:r>
      <w:r>
        <w:rPr>
          <w:rFonts w:hint="eastAsia" w:ascii="宋体" w:hAnsi="宋体" w:eastAsia="宋体" w:cs="宋体"/>
          <w:color w:val="000000"/>
          <w:spacing w:val="6"/>
          <w:sz w:val="24"/>
          <w:szCs w:val="24"/>
          <w:highlight w:val="none"/>
          <w:lang w:val="en-US" w:eastAsia="en-US" w:bidi="ar-SA"/>
        </w:rPr>
        <w:t xml:space="preserve">，项目编号：</w:t>
      </w:r>
      <w:r>
        <w:rPr>
          <w:rFonts w:hint="eastAsia" w:ascii="宋体" w:hAnsi="宋体" w:eastAsia="宋体" w:cs="宋体"/>
          <w:color w:val="000000"/>
          <w:spacing w:val="6"/>
          <w:sz w:val="24"/>
          <w:szCs w:val="24"/>
          <w:highlight w:val="none"/>
          <w:lang w:val="en-US" w:eastAsia="zh-CN" w:bidi="ar-SA"/>
        </w:rPr>
        <w:t xml:space="preserve">     </w:t>
      </w:r>
      <w:r>
        <w:rPr>
          <w:rFonts w:hint="eastAsia" w:ascii="宋体" w:hAnsi="宋体" w:eastAsia="宋体" w:cs="宋体"/>
          <w:color w:val="000000"/>
          <w:spacing w:val="6"/>
          <w:sz w:val="24"/>
          <w:szCs w:val="24"/>
          <w:highlight w:val="none"/>
          <w:lang w:val="en-US" w:eastAsia="en-US" w:bidi="ar-SA"/>
        </w:rPr>
        <w:t xml:space="preserve">）所必需的设备和专业技术能力，具体为：</w:t>
      </w:r>
      <w:r/>
    </w:p>
    <w:p>
      <w:pPr>
        <w:pStyle w:val="832"/>
        <w:ind w:left="0" w:firstLine="480"/>
        <w:jc w:val="both"/>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设备：</w:t>
      </w:r>
      <w:r/>
    </w:p>
    <w:p>
      <w:pPr>
        <w:pStyle w:val="832"/>
        <w:ind w:left="0" w:firstLine="480"/>
        <w:jc w:val="both"/>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（证明材料原件的扫描件附后）</w:t>
      </w:r>
      <w:r/>
    </w:p>
    <w:p>
      <w:pPr>
        <w:pStyle w:val="832"/>
        <w:ind w:left="0" w:firstLine="480"/>
        <w:jc w:val="both"/>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w:t>
      </w:r>
      <w:r>
        <w:rPr>
          <w:rFonts w:hint="eastAsia"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（证明材料原件的扫描件附后）</w:t>
      </w:r>
      <w:r/>
    </w:p>
    <w:p>
      <w:pPr>
        <w:pStyle w:val="832"/>
        <w:ind w:left="0" w:firstLine="480"/>
        <w:jc w:val="both"/>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（证明材料原件的扫描件附后）</w:t>
      </w:r>
      <w:r/>
    </w:p>
    <w:p>
      <w:pPr>
        <w:pStyle w:val="832"/>
        <w:ind w:left="0" w:firstLine="480"/>
        <w:jc w:val="both"/>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p>
    <w:p>
      <w:pPr>
        <w:pStyle w:val="832"/>
        <w:ind w:left="0" w:firstLine="480"/>
        <w:jc w:val="both"/>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4"/>
          <w:szCs w:val="24"/>
          <w:highlight w:val="none"/>
        </w:rPr>
        <w:t xml:space="preserve"> </w:t>
      </w:r>
      <w:r/>
    </w:p>
    <w:p>
      <w:pPr>
        <w:pStyle w:val="832"/>
        <w:ind w:left="0" w:firstLine="480"/>
        <w:jc w:val="both"/>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专业技术能力：</w:t>
      </w:r>
      <w:r/>
    </w:p>
    <w:p>
      <w:pPr>
        <w:pStyle w:val="832"/>
        <w:ind w:left="0" w:firstLine="480"/>
        <w:jc w:val="both"/>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（证明材料原件的扫描件附后）</w:t>
      </w:r>
      <w:r/>
    </w:p>
    <w:p>
      <w:pPr>
        <w:pStyle w:val="832"/>
        <w:ind w:left="0" w:firstLine="480"/>
        <w:jc w:val="both"/>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（证明材料原件的扫描件附后）</w:t>
      </w:r>
      <w:r/>
    </w:p>
    <w:p>
      <w:pPr>
        <w:pStyle w:val="832"/>
        <w:ind w:left="0" w:firstLine="480"/>
        <w:jc w:val="both"/>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（证明材料原件的扫描件附后）</w:t>
      </w:r>
      <w:r/>
    </w:p>
    <w:p>
      <w:pPr>
        <w:pStyle w:val="832"/>
        <w:ind w:left="0" w:firstLine="480"/>
        <w:jc w:val="both"/>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p>
    <w:p>
      <w:pPr>
        <w:pStyle w:val="832"/>
        <w:ind w:left="0" w:firstLine="480"/>
        <w:jc w:val="both"/>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4"/>
          <w:szCs w:val="24"/>
          <w:highlight w:val="none"/>
        </w:rPr>
        <w:t xml:space="preserve"> </w:t>
      </w:r>
      <w:r/>
    </w:p>
    <w:p>
      <w:pPr>
        <w:pStyle w:val="832"/>
        <w:ind w:left="0" w:firstLine="480"/>
        <w:jc w:val="both"/>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特此声明。</w:t>
      </w:r>
      <w:r/>
    </w:p>
    <w:p>
      <w:pPr>
        <w:pStyle w:val="832"/>
        <w:ind w:left="0" w:firstLine="480"/>
        <w:jc w:val="both"/>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投标人对上述声明的真实性负责。如有虚假，将依法承担相应责任。</w:t>
      </w:r>
      <w:r/>
    </w:p>
    <w:p>
      <w:pPr>
        <w:pStyle w:val="832"/>
        <w:ind w:left="0" w:firstLine="3000"/>
        <w:jc w:val="both"/>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4"/>
          <w:szCs w:val="24"/>
          <w:highlight w:val="none"/>
        </w:rPr>
        <w:t xml:space="preserve"> </w:t>
      </w:r>
      <w:r/>
    </w:p>
    <w:p>
      <w:pPr>
        <w:pStyle w:val="832"/>
        <w:ind w:firstLine="240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832"/>
        <w:ind w:firstLine="240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832"/>
        <w:ind w:firstLine="2400"/>
        <w:jc w:val="both"/>
        <w:keepLines w:val="0"/>
        <w:keepNext w:val="0"/>
        <w:pageBreakBefore w:val="0"/>
        <w:spacing w:before="0" w:beforeAutospacing="0" w:after="0" w:afterAutospacing="0"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832"/>
        <w:ind w:firstLine="2400"/>
        <w:jc w:val="both"/>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（盖电子签章）</w:t>
      </w:r>
      <w:r/>
    </w:p>
    <w:p>
      <w:pPr>
        <w:pStyle w:val="832"/>
        <w:jc w:val="right"/>
        <w:keepLines w:val="0"/>
        <w:keepNext w:val="0"/>
        <w:pageBreakBefore w:val="0"/>
        <w:spacing w:before="0" w:beforeAutospacing="0" w:after="40" w:afterAutospacing="0" w:line="240" w:lineRule="auto"/>
        <w:widowControl/>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投标人法定代表人或授权代表：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（签字或盖电子签章）</w:t>
      </w:r>
      <w:r/>
    </w:p>
    <w:p>
      <w:pPr>
        <w:pStyle w:val="832"/>
        <w:ind w:left="0" w:firstLine="3120"/>
        <w:jc w:val="right"/>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p>
    <w:p>
      <w:pPr>
        <w:pStyle w:val="832"/>
        <w:ind w:left="0" w:firstLine="3120"/>
        <w:jc w:val="right"/>
        <w:keepLines w:val="0"/>
        <w:keepNext w:val="0"/>
        <w:pageBreakBefore w:val="0"/>
        <w:spacing w:before="0" w:beforeAutospacing="0" w:after="0" w:afterAutospacing="0" w:line="240" w:lineRule="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日期：    年    月   日</w:t>
      </w:r>
      <w:r/>
    </w:p>
    <w:p>
      <w:pPr>
        <w:pStyle w:val="822"/>
        <w:rPr>
          <w:rFonts w:hint="eastAsia"/>
          <w:color w:val="000000"/>
          <w:highlight w:val="none"/>
        </w:rPr>
      </w:pPr>
      <w:r>
        <w:rPr>
          <w:rFonts w:hint="eastAsia"/>
          <w:color w:val="000000"/>
          <w:highlight w:val="none"/>
        </w:rPr>
        <w:br w:type="page" w:clear="all"/>
      </w:r>
      <w:r/>
    </w:p>
    <w:p>
      <w:pPr>
        <w:jc w:val="center"/>
        <w:spacing w:line="360"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、关于符合本国产品标准的声明函（如有）</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1.</w:t>
      </w:r>
      <w:r>
        <w:rPr>
          <w:rFonts w:hint="eastAsia" w:ascii="宋体" w:hAnsi="宋体" w:eastAsia="宋体" w:cs="宋体"/>
          <w:i/>
          <w:iCs/>
          <w:color w:val="383838"/>
          <w:sz w:val="24"/>
          <w:szCs w:val="24"/>
          <w:lang w:val="en-US" w:eastAsia="zh-CN" w:bidi="ar-SA"/>
        </w:rPr>
        <w:t xml:space="preserve">（产品名称1）</w:t>
      </w:r>
      <w:r>
        <w:rPr>
          <w:rFonts w:hint="eastAsia" w:ascii="宋体" w:hAnsi="宋体" w:eastAsia="宋体" w:cs="宋体"/>
          <w:i/>
          <w:iCs/>
          <w:color w:val="383838"/>
          <w:sz w:val="24"/>
          <w:szCs w:val="24"/>
          <w:vertAlign w:val="superscript"/>
          <w:lang w:val="en-US" w:eastAsia="zh-CN" w:bidi="ar-SA"/>
        </w:rPr>
        <w:t xml:space="preserve">1</w:t>
      </w:r>
      <w:r>
        <w:rPr>
          <w:rFonts w:hint="eastAsia" w:ascii="宋体" w:hAnsi="宋体" w:eastAsia="宋体" w:cs="宋体"/>
          <w:color w:val="383838"/>
          <w:sz w:val="24"/>
          <w:szCs w:val="24"/>
          <w:lang w:val="en-US" w:eastAsia="zh-CN" w:bidi="ar-SA"/>
        </w:rPr>
        <w:t xml:space="preserve">，生产厂为</w:t>
      </w:r>
      <w:r>
        <w:rPr>
          <w:rFonts w:hint="eastAsia" w:ascii="宋体" w:hAnsi="宋体" w:eastAsia="宋体" w:cs="宋体"/>
          <w:i/>
          <w:iCs/>
          <w:color w:val="383838"/>
          <w:sz w:val="24"/>
          <w:szCs w:val="24"/>
          <w:lang w:val="en-US" w:eastAsia="zh-CN" w:bidi="ar-SA"/>
        </w:rPr>
        <w:t xml:space="preserve">（厂名）</w:t>
      </w:r>
      <w:r>
        <w:rPr>
          <w:rFonts w:hint="eastAsia" w:ascii="宋体" w:hAnsi="宋体" w:eastAsia="宋体" w:cs="宋体"/>
          <w:i/>
          <w:iCs/>
          <w:color w:val="383838"/>
          <w:sz w:val="24"/>
          <w:szCs w:val="24"/>
          <w:vertAlign w:val="superscript"/>
          <w:lang w:val="en-US" w:eastAsia="zh-CN" w:bidi="ar-SA"/>
        </w:rPr>
        <w:t xml:space="preserve">2</w:t>
      </w:r>
      <w:r>
        <w:rPr>
          <w:rFonts w:hint="eastAsia" w:ascii="宋体" w:hAnsi="宋体" w:eastAsia="宋体" w:cs="宋体"/>
          <w:color w:val="383838"/>
          <w:sz w:val="24"/>
          <w:szCs w:val="24"/>
          <w:lang w:val="en-US" w:eastAsia="zh-CN" w:bidi="ar-SA"/>
        </w:rPr>
        <w:t xml:space="preserve">，厂址为</w:t>
      </w:r>
      <w:r>
        <w:rPr>
          <w:rFonts w:hint="eastAsia" w:ascii="宋体" w:hAnsi="宋体" w:eastAsia="宋体" w:cs="宋体"/>
          <w:i/>
          <w:iCs/>
          <w:color w:val="383838"/>
          <w:sz w:val="24"/>
          <w:szCs w:val="24"/>
          <w:lang w:val="en-US" w:eastAsia="zh-CN" w:bidi="ar-SA"/>
        </w:rPr>
        <w:t xml:space="preserve">（生产厂址）</w:t>
      </w:r>
      <w:r>
        <w:rPr>
          <w:rFonts w:hint="eastAsia" w:ascii="宋体" w:hAnsi="宋体" w:eastAsia="宋体" w:cs="宋体"/>
          <w:color w:val="383838"/>
          <w:sz w:val="24"/>
          <w:szCs w:val="24"/>
          <w:lang w:val="en-US" w:eastAsia="zh-CN" w:bidi="ar-SA"/>
        </w:rPr>
        <w:t xml:space="preserve">。</w:t>
      </w:r>
      <w:r>
        <w:rPr>
          <w:rFonts w:hint="eastAsia" w:ascii="宋体" w:hAnsi="宋体" w:eastAsia="宋体" w:cs="宋体"/>
          <w:i/>
          <w:iCs/>
          <w:color w:val="383838"/>
          <w:sz w:val="24"/>
          <w:szCs w:val="24"/>
          <w:lang w:val="en-US" w:eastAsia="zh-CN" w:bidi="ar-SA"/>
        </w:rPr>
        <w:t xml:space="preserve">（产品名称1）</w:t>
      </w:r>
      <w:r>
        <w:rPr>
          <w:rFonts w:hint="eastAsia" w:ascii="宋体" w:hAnsi="宋体" w:eastAsia="宋体" w:cs="宋体"/>
          <w:color w:val="383838"/>
          <w:sz w:val="24"/>
          <w:szCs w:val="24"/>
          <w:lang w:val="en-US" w:eastAsia="zh-CN" w:bidi="ar-SA"/>
        </w:rPr>
        <w:t xml:space="preserve">的中国境内生产的组件成本占比≥</w:t>
      </w:r>
      <w:r>
        <w:rPr>
          <w:rFonts w:hint="eastAsia" w:ascii="宋体" w:hAnsi="宋体" w:eastAsia="宋体" w:cs="宋体"/>
          <w:i/>
          <w:iCs/>
          <w:color w:val="383838"/>
          <w:sz w:val="24"/>
          <w:szCs w:val="24"/>
          <w:lang w:val="en-US" w:eastAsia="zh-CN" w:bidi="ar-SA"/>
        </w:rPr>
        <w:t xml:space="preserve">（规定比例）</w:t>
      </w:r>
      <w:r>
        <w:rPr>
          <w:rFonts w:hint="eastAsia" w:ascii="宋体" w:hAnsi="宋体" w:eastAsia="宋体" w:cs="宋体"/>
          <w:i/>
          <w:iCs/>
          <w:color w:val="383838"/>
          <w:sz w:val="24"/>
          <w:szCs w:val="24"/>
          <w:vertAlign w:val="superscript"/>
          <w:lang w:val="en-US" w:eastAsia="zh-CN" w:bidi="ar-SA"/>
        </w:rPr>
        <w:t xml:space="preserve">3</w:t>
      </w:r>
      <w:r>
        <w:rPr>
          <w:rFonts w:hint="eastAsia" w:ascii="宋体" w:hAnsi="宋体" w:eastAsia="宋体" w:cs="宋体"/>
          <w:color w:val="383838"/>
          <w:sz w:val="24"/>
          <w:szCs w:val="24"/>
          <w:lang w:val="en-US" w:eastAsia="zh-CN" w:bidi="ar-SA"/>
        </w:rPr>
        <w:t xml:space="preserve">。</w:t>
      </w:r>
      <w:r>
        <w:rPr>
          <w:rFonts w:hint="eastAsia" w:ascii="宋体" w:hAnsi="宋体" w:eastAsia="宋体" w:cs="宋体"/>
          <w:i/>
          <w:iCs/>
          <w:color w:val="383838"/>
          <w:sz w:val="24"/>
          <w:szCs w:val="24"/>
          <w:lang w:val="en-US" w:eastAsia="zh-CN" w:bidi="ar-SA"/>
        </w:rPr>
        <w:t xml:space="preserve">（产品名称1）</w:t>
      </w:r>
      <w:r>
        <w:rPr>
          <w:rFonts w:hint="eastAsia" w:ascii="宋体" w:hAnsi="宋体" w:eastAsia="宋体" w:cs="宋体"/>
          <w:color w:val="383838"/>
          <w:sz w:val="24"/>
          <w:szCs w:val="24"/>
          <w:lang w:val="en-US" w:eastAsia="zh-CN" w:bidi="ar-SA"/>
        </w:rPr>
        <w:t xml:space="preserve">的</w:t>
      </w:r>
      <w:r>
        <w:rPr>
          <w:rFonts w:hint="eastAsia" w:ascii="宋体" w:hAnsi="宋体" w:eastAsia="宋体" w:cs="宋体"/>
          <w:i/>
          <w:iCs/>
          <w:color w:val="383838"/>
          <w:sz w:val="24"/>
          <w:szCs w:val="24"/>
          <w:lang w:val="en-US" w:eastAsia="zh-CN" w:bidi="ar-SA"/>
        </w:rPr>
        <w:t xml:space="preserve">（关键组件）</w:t>
      </w:r>
      <w:r>
        <w:rPr>
          <w:rFonts w:hint="eastAsia" w:ascii="宋体" w:hAnsi="宋体" w:eastAsia="宋体" w:cs="宋体"/>
          <w:i/>
          <w:iCs/>
          <w:color w:val="383838"/>
          <w:sz w:val="24"/>
          <w:szCs w:val="24"/>
          <w:vertAlign w:val="superscript"/>
          <w:lang w:val="en-US" w:eastAsia="zh-CN" w:bidi="ar-SA"/>
        </w:rPr>
        <w:t xml:space="preserve">4</w:t>
      </w:r>
      <w:r>
        <w:rPr>
          <w:rFonts w:hint="eastAsia" w:ascii="宋体" w:hAnsi="宋体" w:eastAsia="宋体" w:cs="宋体"/>
          <w:color w:val="383838"/>
          <w:sz w:val="24"/>
          <w:szCs w:val="24"/>
          <w:lang w:val="en-US" w:eastAsia="zh-CN" w:bidi="ar-SA"/>
        </w:rPr>
        <w:t xml:space="preserve">在中国境内生产。</w:t>
      </w:r>
      <w:r>
        <w:rPr>
          <w:rFonts w:hint="eastAsia" w:ascii="宋体" w:hAnsi="宋体" w:eastAsia="宋体" w:cs="宋体"/>
          <w:i/>
          <w:iCs/>
          <w:color w:val="383838"/>
          <w:sz w:val="24"/>
          <w:szCs w:val="24"/>
          <w:lang w:val="en-US" w:eastAsia="zh-CN" w:bidi="ar-SA"/>
        </w:rPr>
        <w:t xml:space="preserve">（产品名称1）</w:t>
      </w:r>
      <w:r>
        <w:rPr>
          <w:rFonts w:hint="eastAsia" w:ascii="宋体" w:hAnsi="宋体" w:eastAsia="宋体" w:cs="宋体"/>
          <w:color w:val="383838"/>
          <w:sz w:val="24"/>
          <w:szCs w:val="24"/>
          <w:lang w:val="en-US" w:eastAsia="zh-CN" w:bidi="ar-SA"/>
        </w:rPr>
        <w:t xml:space="preserve">的</w:t>
      </w:r>
      <w:r>
        <w:rPr>
          <w:rFonts w:hint="eastAsia" w:ascii="宋体" w:hAnsi="宋体" w:eastAsia="宋体" w:cs="宋体"/>
          <w:i/>
          <w:iCs/>
          <w:color w:val="383838"/>
          <w:sz w:val="24"/>
          <w:szCs w:val="24"/>
          <w:lang w:val="en-US" w:eastAsia="zh-CN" w:bidi="ar-SA"/>
        </w:rPr>
        <w:t xml:space="preserve">（关键工序）</w:t>
      </w:r>
      <w:r>
        <w:rPr>
          <w:rFonts w:hint="eastAsia" w:ascii="宋体" w:hAnsi="宋体" w:eastAsia="宋体" w:cs="宋体"/>
          <w:i/>
          <w:iCs/>
          <w:color w:val="383838"/>
          <w:sz w:val="24"/>
          <w:szCs w:val="24"/>
          <w:vertAlign w:val="superscript"/>
          <w:lang w:val="en-US" w:eastAsia="zh-CN" w:bidi="ar-SA"/>
        </w:rPr>
        <w:t xml:space="preserve">5</w:t>
      </w:r>
      <w:r>
        <w:rPr>
          <w:rFonts w:hint="eastAsia" w:ascii="宋体" w:hAnsi="宋体" w:eastAsia="宋体" w:cs="宋体"/>
          <w:color w:val="383838"/>
          <w:sz w:val="24"/>
          <w:szCs w:val="24"/>
          <w:lang w:val="en-US" w:eastAsia="zh-CN" w:bidi="ar-SA"/>
        </w:rPr>
        <w:t xml:space="preserve">在中国境内完成。</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2.</w:t>
      </w:r>
      <w:r>
        <w:rPr>
          <w:rFonts w:hint="eastAsia" w:ascii="宋体" w:hAnsi="宋体" w:eastAsia="宋体" w:cs="宋体"/>
          <w:i/>
          <w:iCs/>
          <w:color w:val="383838"/>
          <w:sz w:val="24"/>
          <w:szCs w:val="24"/>
          <w:lang w:val="en-US" w:eastAsia="zh-CN" w:bidi="ar-SA"/>
        </w:rPr>
        <w:t xml:space="preserve">（产品名称2）</w:t>
      </w:r>
      <w:r>
        <w:rPr>
          <w:rFonts w:hint="eastAsia" w:ascii="宋体" w:hAnsi="宋体" w:eastAsia="宋体" w:cs="宋体"/>
          <w:color w:val="383838"/>
          <w:sz w:val="24"/>
          <w:szCs w:val="24"/>
          <w:lang w:val="en-US" w:eastAsia="zh-CN" w:bidi="ar-SA"/>
        </w:rPr>
        <w:t xml:space="preserve">，生产厂为</w:t>
      </w:r>
      <w:r>
        <w:rPr>
          <w:rFonts w:hint="eastAsia" w:ascii="宋体" w:hAnsi="宋体" w:eastAsia="宋体" w:cs="宋体"/>
          <w:i/>
          <w:iCs/>
          <w:color w:val="383838"/>
          <w:sz w:val="24"/>
          <w:szCs w:val="24"/>
          <w:lang w:val="en-US" w:eastAsia="zh-CN" w:bidi="ar-SA"/>
        </w:rPr>
        <w:t xml:space="preserve">（厂名）</w:t>
      </w:r>
      <w:r>
        <w:rPr>
          <w:rFonts w:hint="eastAsia" w:ascii="宋体" w:hAnsi="宋体" w:eastAsia="宋体" w:cs="宋体"/>
          <w:color w:val="383838"/>
          <w:sz w:val="24"/>
          <w:szCs w:val="24"/>
          <w:lang w:val="en-US" w:eastAsia="zh-CN" w:bidi="ar-SA"/>
        </w:rPr>
        <w:t xml:space="preserve">，厂址为</w:t>
      </w:r>
      <w:r>
        <w:rPr>
          <w:rFonts w:hint="eastAsia" w:ascii="宋体" w:hAnsi="宋体" w:eastAsia="宋体" w:cs="宋体"/>
          <w:i/>
          <w:iCs/>
          <w:color w:val="383838"/>
          <w:sz w:val="24"/>
          <w:szCs w:val="24"/>
          <w:lang w:val="en-US" w:eastAsia="zh-CN" w:bidi="ar-SA"/>
        </w:rPr>
        <w:t xml:space="preserve">（生产厂址）</w:t>
      </w:r>
      <w:r>
        <w:rPr>
          <w:rFonts w:hint="eastAsia" w:ascii="宋体" w:hAnsi="宋体" w:eastAsia="宋体" w:cs="宋体"/>
          <w:color w:val="383838"/>
          <w:sz w:val="24"/>
          <w:szCs w:val="24"/>
          <w:lang w:val="en-US" w:eastAsia="zh-CN" w:bidi="ar-SA"/>
        </w:rPr>
        <w:t xml:space="preserve">。</w:t>
      </w:r>
      <w:r>
        <w:rPr>
          <w:rFonts w:hint="eastAsia" w:ascii="宋体" w:hAnsi="宋体" w:eastAsia="宋体" w:cs="宋体"/>
          <w:i/>
          <w:iCs/>
          <w:color w:val="383838"/>
          <w:sz w:val="24"/>
          <w:szCs w:val="24"/>
          <w:lang w:val="en-US" w:eastAsia="zh-CN" w:bidi="ar-SA"/>
        </w:rPr>
        <w:t xml:space="preserve">（产品名称2）</w:t>
      </w:r>
      <w:r>
        <w:rPr>
          <w:rFonts w:hint="eastAsia" w:ascii="宋体" w:hAnsi="宋体" w:eastAsia="宋体" w:cs="宋体"/>
          <w:color w:val="383838"/>
          <w:sz w:val="24"/>
          <w:szCs w:val="24"/>
          <w:lang w:val="en-US" w:eastAsia="zh-CN" w:bidi="ar-SA"/>
        </w:rPr>
        <w:t xml:space="preserve">的中国境内生产的组件成本占比≥</w:t>
      </w:r>
      <w:r>
        <w:rPr>
          <w:rFonts w:hint="eastAsia" w:ascii="宋体" w:hAnsi="宋体" w:eastAsia="宋体" w:cs="宋体"/>
          <w:i/>
          <w:iCs/>
          <w:color w:val="383838"/>
          <w:sz w:val="24"/>
          <w:szCs w:val="24"/>
          <w:lang w:val="en-US" w:eastAsia="zh-CN" w:bidi="ar-SA"/>
        </w:rPr>
        <w:t xml:space="preserve">（规定比例）</w:t>
      </w:r>
      <w:r>
        <w:rPr>
          <w:rFonts w:hint="eastAsia" w:ascii="宋体" w:hAnsi="宋体" w:eastAsia="宋体" w:cs="宋体"/>
          <w:color w:val="383838"/>
          <w:sz w:val="24"/>
          <w:szCs w:val="24"/>
          <w:lang w:val="en-US" w:eastAsia="zh-CN" w:bidi="ar-SA"/>
        </w:rPr>
        <w:t xml:space="preserve">。</w:t>
      </w:r>
      <w:r>
        <w:rPr>
          <w:rFonts w:hint="eastAsia" w:ascii="宋体" w:hAnsi="宋体" w:eastAsia="宋体" w:cs="宋体"/>
          <w:i/>
          <w:iCs/>
          <w:color w:val="383838"/>
          <w:sz w:val="24"/>
          <w:szCs w:val="24"/>
          <w:lang w:val="en-US" w:eastAsia="zh-CN" w:bidi="ar-SA"/>
        </w:rPr>
        <w:t xml:space="preserve">（产品名称2）</w:t>
      </w:r>
      <w:r>
        <w:rPr>
          <w:rFonts w:hint="eastAsia" w:ascii="宋体" w:hAnsi="宋体" w:eastAsia="宋体" w:cs="宋体"/>
          <w:color w:val="383838"/>
          <w:sz w:val="24"/>
          <w:szCs w:val="24"/>
          <w:lang w:val="en-US" w:eastAsia="zh-CN" w:bidi="ar-SA"/>
        </w:rPr>
        <w:t xml:space="preserve">的</w:t>
      </w:r>
      <w:r>
        <w:rPr>
          <w:rFonts w:hint="eastAsia" w:ascii="宋体" w:hAnsi="宋体" w:eastAsia="宋体" w:cs="宋体"/>
          <w:i/>
          <w:iCs/>
          <w:color w:val="383838"/>
          <w:sz w:val="24"/>
          <w:szCs w:val="24"/>
          <w:lang w:val="en-US" w:eastAsia="zh-CN" w:bidi="ar-SA"/>
        </w:rPr>
        <w:t xml:space="preserve">（关键组件）</w:t>
      </w:r>
      <w:r>
        <w:rPr>
          <w:rFonts w:hint="eastAsia" w:ascii="宋体" w:hAnsi="宋体" w:eastAsia="宋体" w:cs="宋体"/>
          <w:color w:val="383838"/>
          <w:sz w:val="24"/>
          <w:szCs w:val="24"/>
          <w:lang w:val="en-US" w:eastAsia="zh-CN" w:bidi="ar-SA"/>
        </w:rPr>
        <w:t xml:space="preserve">在中国境内生产。</w:t>
      </w:r>
      <w:r>
        <w:rPr>
          <w:rFonts w:hint="eastAsia" w:ascii="宋体" w:hAnsi="宋体" w:eastAsia="宋体" w:cs="宋体"/>
          <w:i/>
          <w:iCs/>
          <w:color w:val="383838"/>
          <w:sz w:val="24"/>
          <w:szCs w:val="24"/>
          <w:lang w:val="en-US" w:eastAsia="zh-CN" w:bidi="ar-SA"/>
        </w:rPr>
        <w:t xml:space="preserve">（产品名称2）</w:t>
      </w:r>
      <w:r>
        <w:rPr>
          <w:rFonts w:hint="eastAsia" w:ascii="宋体" w:hAnsi="宋体" w:eastAsia="宋体" w:cs="宋体"/>
          <w:color w:val="383838"/>
          <w:sz w:val="24"/>
          <w:szCs w:val="24"/>
          <w:lang w:val="en-US" w:eastAsia="zh-CN" w:bidi="ar-SA"/>
        </w:rPr>
        <w:t xml:space="preserve">的</w:t>
      </w:r>
      <w:r>
        <w:rPr>
          <w:rFonts w:hint="eastAsia" w:ascii="宋体" w:hAnsi="宋体" w:eastAsia="宋体" w:cs="宋体"/>
          <w:i/>
          <w:iCs/>
          <w:color w:val="383838"/>
          <w:sz w:val="24"/>
          <w:szCs w:val="24"/>
          <w:lang w:val="en-US" w:eastAsia="zh-CN" w:bidi="ar-SA"/>
        </w:rPr>
        <w:t xml:space="preserve">（关键工序）</w:t>
      </w:r>
      <w:r>
        <w:rPr>
          <w:rFonts w:hint="eastAsia" w:ascii="宋体" w:hAnsi="宋体" w:eastAsia="宋体" w:cs="宋体"/>
          <w:color w:val="383838"/>
          <w:sz w:val="24"/>
          <w:szCs w:val="24"/>
          <w:lang w:val="en-US" w:eastAsia="zh-CN" w:bidi="ar-SA"/>
        </w:rPr>
        <w:t xml:space="preserve">在中国境内完成。</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 </w:t>
      </w:r>
      <w:r/>
    </w:p>
    <w:p>
      <w:pPr>
        <w:jc w:val="righ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公司（单位）名称（盖章）：　        </w:t>
      </w:r>
      <w:r/>
    </w:p>
    <w:p>
      <w:pPr>
        <w:jc w:val="righ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日期：　     年　  月　  日</w:t>
      </w:r>
      <w:r/>
    </w:p>
    <w:p>
      <w:pPr>
        <w:jc w:val="left"/>
        <w:spacing w:before="30" w:beforeAutospacing="0" w:after="3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__________________</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383838"/>
          <w:sz w:val="24"/>
          <w:szCs w:val="24"/>
          <w:lang w:val="en-US" w:eastAsia="zh-CN" w:bidi="ar-SA"/>
        </w:rPr>
      </w:pPr>
      <w:r>
        <w:rPr>
          <w:rFonts w:hint="eastAsia" w:ascii="宋体" w:hAnsi="宋体" w:eastAsia="宋体" w:cs="宋体"/>
          <w:color w:val="383838"/>
          <w:sz w:val="24"/>
          <w:szCs w:val="24"/>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color w:val="383838"/>
          <w:sz w:val="24"/>
          <w:szCs w:val="24"/>
          <w:lang w:val="en-US" w:eastAsia="zh-CN" w:bidi="ar-SA"/>
        </w:rPr>
        <w:t xml:space="preserve">5.该产品的关键工序要求实施前，“关键工序”栏可不填，下同。</w:t>
      </w:r>
      <w:r/>
    </w:p>
    <w:p>
      <w:pPr>
        <w:jc w:val="center"/>
        <w:spacing w:line="360"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r>
      <w:r/>
    </w:p>
    <w:p>
      <w:pPr>
        <w:pStyle w:val="796"/>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4"/>
          <w:szCs w:val="24"/>
        </w:rPr>
        <w:t xml:space="preserve">附：</w:t>
      </w:r>
      <w:r/>
    </w:p>
    <w:p>
      <w:pPr>
        <w:jc w:val="cente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中国境内生产的组件成本核算基本规则</w:t>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 </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三、产品总成本和组件成本以相关会计核算数据、采购合同、进货记录等为基础进行计算。</w:t>
      </w:r>
      <w:r/>
    </w:p>
    <w:p>
      <w:pPr>
        <w:pStyle w:val="83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pacing w:val="6"/>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pacing w:val="6"/>
          <w:sz w:val="24"/>
          <w:szCs w:val="24"/>
          <w:highlight w:val="none"/>
          <w:lang w:val="en-US" w:eastAsia="zh-CN" w:bidi="ar-SA"/>
        </w:rPr>
        <w:t xml:space="preserve">四、需要对成本核算规则予以进一步明确的其他有关事项，由财政部会同有关部门另行规定。</w:t>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br w:type="page" w:clear="all"/>
      </w:r>
      <w:r/>
    </w:p>
    <w:p>
      <w:pPr>
        <w:jc w:val="center"/>
        <w:spacing w:line="360" w:lineRule="auto"/>
        <w:rPr>
          <w:rFonts w:hint="eastAsia" w:ascii="宋体" w:hAnsi="宋体" w:eastAsia="宋体" w:cs="宋体"/>
          <w:color w:val="000000"/>
          <w:sz w:val="28"/>
          <w:szCs w:val="28"/>
          <w:highlight w:val="none"/>
          <w:lang w:val="en-US" w:eastAsia="zh-CN"/>
        </w:rPr>
        <w:outlineLvl w:val="1"/>
      </w:pPr>
      <w:r>
        <w:rPr>
          <w:rFonts w:hint="eastAsia" w:ascii="宋体" w:hAnsi="宋体" w:eastAsia="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rPr>
        <w:t xml:space="preserve">招标文件要求及投标人认为有必要提供的</w:t>
      </w:r>
      <w:r>
        <w:rPr>
          <w:rFonts w:hint="eastAsia" w:ascii="宋体" w:hAnsi="宋体" w:eastAsia="宋体" w:cs="宋体"/>
          <w:color w:val="000000"/>
          <w:sz w:val="28"/>
          <w:szCs w:val="28"/>
          <w:highlight w:val="none"/>
          <w:lang w:eastAsia="zh-CN"/>
        </w:rPr>
        <w:t xml:space="preserve">其他</w:t>
      </w:r>
      <w:r>
        <w:rPr>
          <w:rFonts w:hint="eastAsia" w:ascii="宋体" w:hAnsi="宋体" w:eastAsia="宋体" w:cs="宋体"/>
          <w:color w:val="000000"/>
          <w:sz w:val="28"/>
          <w:szCs w:val="28"/>
          <w:highlight w:val="none"/>
        </w:rPr>
        <w:t xml:space="preserve">资料或承诺等。</w:t>
      </w:r>
      <w:r/>
    </w:p>
    <w:p>
      <w:pPr>
        <w:jc w:val="center"/>
        <w:spacing w:line="360" w:lineRule="auto"/>
        <w:rPr>
          <w:rFonts w:hint="eastAsia" w:ascii="宋体" w:hAnsi="宋体" w:eastAsia="宋体" w:cs="宋体"/>
          <w:color w:val="000000"/>
          <w:sz w:val="28"/>
          <w:szCs w:val="28"/>
          <w:highlight w:val="none"/>
          <w:lang w:val="en-US" w:eastAsia="zh-CN"/>
        </w:rPr>
        <w:outlineLvl w:val="1"/>
      </w:pPr>
      <w:r>
        <w:rPr>
          <w:rFonts w:hint="eastAsia" w:ascii="宋体" w:hAnsi="宋体" w:eastAsia="宋体" w:cs="宋体"/>
          <w:color w:val="000000"/>
          <w:sz w:val="28"/>
          <w:szCs w:val="28"/>
          <w:highlight w:val="none"/>
          <w:lang w:val="en-US" w:eastAsia="zh-CN"/>
        </w:rPr>
      </w:r>
      <w:r/>
    </w:p>
    <w:p>
      <w:pPr>
        <w:jc w:val="center"/>
        <w:spacing w:line="360" w:lineRule="auto"/>
        <w:rPr>
          <w:rFonts w:hint="eastAsia" w:ascii="宋体" w:hAnsi="宋体" w:eastAsia="宋体" w:cs="宋体"/>
          <w:color w:val="000000"/>
          <w:sz w:val="28"/>
          <w:szCs w:val="28"/>
          <w:highlight w:val="none"/>
          <w:lang w:val="en-US" w:eastAsia="zh-CN"/>
        </w:rPr>
        <w:outlineLvl w:val="1"/>
      </w:pPr>
      <w:r>
        <w:rPr>
          <w:rFonts w:hint="eastAsia" w:ascii="宋体" w:hAnsi="宋体" w:eastAsia="宋体" w:cs="宋体"/>
          <w:color w:val="000000"/>
          <w:sz w:val="28"/>
          <w:szCs w:val="28"/>
          <w:highlight w:val="none"/>
          <w:lang w:val="en-US" w:eastAsia="zh-CN"/>
        </w:rPr>
      </w:r>
      <w:r/>
    </w:p>
    <w:p>
      <w:pPr>
        <w:jc w:val="center"/>
        <w:spacing w:line="360" w:lineRule="auto"/>
        <w:rPr>
          <w:rFonts w:hint="eastAsia" w:ascii="宋体" w:hAnsi="宋体" w:eastAsia="宋体" w:cs="宋体"/>
          <w:color w:val="000000"/>
          <w:sz w:val="28"/>
          <w:szCs w:val="28"/>
          <w:highlight w:val="none"/>
          <w:lang w:val="en-US" w:eastAsia="zh-CN"/>
        </w:rPr>
        <w:outlineLvl w:val="1"/>
      </w:pPr>
      <w:r>
        <w:rPr>
          <w:rFonts w:hint="eastAsia" w:ascii="宋体" w:hAnsi="宋体" w:eastAsia="宋体" w:cs="宋体"/>
          <w:color w:val="000000"/>
          <w:sz w:val="28"/>
          <w:szCs w:val="28"/>
          <w:highlight w:val="none"/>
          <w:lang w:val="en-US" w:eastAsia="zh-CN"/>
        </w:rPr>
      </w:r>
      <w:r/>
    </w:p>
    <w:p>
      <w:pPr>
        <w:jc w:val="center"/>
        <w:spacing w:line="360" w:lineRule="auto"/>
        <w:rPr>
          <w:rFonts w:hint="eastAsia" w:ascii="宋体" w:hAnsi="宋体" w:eastAsia="宋体" w:cs="宋体"/>
          <w:color w:val="000000"/>
          <w:sz w:val="28"/>
          <w:szCs w:val="28"/>
          <w:highlight w:val="none"/>
          <w:lang w:val="en-US" w:eastAsia="zh-CN"/>
        </w:rPr>
        <w:outlineLvl w:val="1"/>
      </w:pPr>
      <w:r>
        <w:rPr>
          <w:rFonts w:hint="eastAsia" w:ascii="宋体" w:hAnsi="宋体" w:eastAsia="宋体" w:cs="宋体"/>
          <w:color w:val="000000"/>
          <w:sz w:val="28"/>
          <w:szCs w:val="28"/>
          <w:highlight w:val="none"/>
          <w:lang w:val="en-US" w:eastAsia="zh-CN"/>
        </w:rPr>
      </w:r>
      <w:r/>
    </w:p>
    <w:p>
      <w:pPr>
        <w:jc w:val="center"/>
        <w:spacing w:line="360" w:lineRule="auto"/>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lang w:val="en-US" w:eastAsia="zh-CN"/>
        </w:rPr>
        <w:br w:type="page" w:clear="all"/>
      </w:r>
      <w:r>
        <w:rPr>
          <w:rFonts w:hint="eastAsia" w:ascii="宋体" w:hAnsi="宋体" w:eastAsia="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预付款保函支付条款模板 </w:t>
      </w:r>
      <w:r/>
    </w:p>
    <w:p>
      <w:pPr>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符合条件一：提交预付款保函的</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合同签订且乙方向甲方出具预付款保函后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人民币。</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验收合格后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人民币 。 </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符合条件二：不提交预付款保函的</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合同签订后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人民币。</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验收合格后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个工作日内，甲方应支付合同价款的百分之</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，小写￥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人民币。</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2、付款条件二中，预付款比例设定应符合《关于做好政府采购支持企业发展有关事项的通知》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苏财购〔2020〕52号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要求。</w:t>
      </w:r>
      <w:r/>
    </w:p>
    <w:sectPr>
      <w:footnotePr/>
      <w:endnotePr/>
      <w:type w:val="nextPage"/>
      <w:pgSz w:w="11906" w:h="16838" w:orient="portrait"/>
      <w:pgMar w:top="1134" w:right="1304" w:bottom="964" w:left="1304"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新宋体">
    <w:panose1 w:val="02010609030101010101"/>
  </w:font>
  <w:font w:name="Cambria">
    <w:panose1 w:val="02040503050406030204"/>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ind w:right="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ind w:right="360"/>
      <w:jc w:val="right"/>
      <w:tabs>
        <w:tab w:val="center" w:pos="4153" w:leader="none"/>
        <w:tab w:val="right" w:pos="8306"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9"/>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9"/>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tab"/>
      <w:lvlText w:val="第%1章"/>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2"/>
      <w:numFmt w:val="chineseCounting"/>
      <w:isLgl w:val="false"/>
      <w:suff w:val="tab"/>
      <w:lvlText w:val="第%1章"/>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878"/>
      <w:isLgl w:val="false"/>
      <w:suff w:val="space"/>
      <w:lvlText w:val="%1、"/>
      <w:lvlJc w:val="left"/>
      <w:pPr>
        <w:ind w:left="720" w:hanging="720"/>
        <w:tabs>
          <w:tab w:val="left" w:pos="720" w:leader="none"/>
        </w:tabs>
      </w:pPr>
    </w:lvl>
    <w:lvl w:ilvl="1">
      <w:start w:val="1"/>
      <w:numFmt w:val="lowerLetter"/>
      <w:isLgl w:val="false"/>
      <w:suff w:val="space"/>
      <w:lvlText w:val="%2)"/>
      <w:lvlJc w:val="left"/>
      <w:pPr>
        <w:ind w:left="840" w:hanging="420"/>
        <w:tabs>
          <w:tab w:val="left" w:pos="840" w:leader="none"/>
        </w:tabs>
      </w:pPr>
    </w:lvl>
    <w:lvl w:ilvl="2">
      <w:start w:val="1"/>
      <w:numFmt w:val="lowerRoman"/>
      <w:isLgl w:val="false"/>
      <w:suff w:val="space"/>
      <w:lvlText w:val="%3."/>
      <w:lvlJc w:val="right"/>
      <w:pPr>
        <w:ind w:left="1260" w:hanging="420"/>
        <w:tabs>
          <w:tab w:val="left" w:pos="1260" w:leader="none"/>
        </w:tabs>
      </w:pPr>
    </w:lvl>
    <w:lvl w:ilvl="3">
      <w:start w:val="1"/>
      <w:numFmt w:val="decimal"/>
      <w:isLgl w:val="false"/>
      <w:suff w:val="space"/>
      <w:lvlText w:val="%4."/>
      <w:lvlJc w:val="left"/>
      <w:pPr>
        <w:ind w:left="1680" w:hanging="420"/>
        <w:tabs>
          <w:tab w:val="left" w:pos="1680" w:leader="none"/>
        </w:tabs>
      </w:pPr>
    </w:lvl>
    <w:lvl w:ilvl="4">
      <w:start w:val="1"/>
      <w:numFmt w:val="lowerLetter"/>
      <w:isLgl w:val="false"/>
      <w:suff w:val="space"/>
      <w:lvlText w:val="%5)"/>
      <w:lvlJc w:val="left"/>
      <w:pPr>
        <w:ind w:left="2100" w:hanging="420"/>
        <w:tabs>
          <w:tab w:val="left" w:pos="2100" w:leader="none"/>
        </w:tabs>
      </w:pPr>
    </w:lvl>
    <w:lvl w:ilvl="5">
      <w:start w:val="1"/>
      <w:numFmt w:val="lowerRoman"/>
      <w:isLgl w:val="false"/>
      <w:suff w:val="space"/>
      <w:lvlText w:val="%6."/>
      <w:lvlJc w:val="right"/>
      <w:pPr>
        <w:ind w:left="2520" w:hanging="420"/>
        <w:tabs>
          <w:tab w:val="left" w:pos="2520" w:leader="none"/>
        </w:tabs>
      </w:pPr>
    </w:lvl>
    <w:lvl w:ilvl="6">
      <w:start w:val="1"/>
      <w:numFmt w:val="decimal"/>
      <w:isLgl w:val="false"/>
      <w:suff w:val="space"/>
      <w:lvlText w:val="%7."/>
      <w:lvlJc w:val="left"/>
      <w:pPr>
        <w:ind w:left="2940" w:hanging="420"/>
        <w:tabs>
          <w:tab w:val="left" w:pos="2940" w:leader="none"/>
        </w:tabs>
      </w:pPr>
    </w:lvl>
    <w:lvl w:ilvl="7">
      <w:start w:val="1"/>
      <w:numFmt w:val="lowerLetter"/>
      <w:isLgl w:val="false"/>
      <w:suff w:val="space"/>
      <w:lvlText w:val="%8)"/>
      <w:lvlJc w:val="left"/>
      <w:pPr>
        <w:ind w:left="3360" w:hanging="420"/>
        <w:tabs>
          <w:tab w:val="left" w:pos="3360" w:leader="none"/>
        </w:tabs>
      </w:pPr>
    </w:lvl>
    <w:lvl w:ilvl="8">
      <w:start w:val="1"/>
      <w:numFmt w:val="lowerRoman"/>
      <w:isLgl w:val="false"/>
      <w:suff w:val="space"/>
      <w:lvlText w:val="%9."/>
      <w:lvlJc w:val="right"/>
      <w:pPr>
        <w:ind w:left="3780" w:hanging="420"/>
        <w:tabs>
          <w:tab w:val="left" w:pos="3780" w:leader="none"/>
        </w:tabs>
      </w:pPr>
    </w:lvl>
  </w:abstractNum>
  <w:abstractNum w:abstractNumId="4">
    <w:multiLevelType w:val="hybridMultilevel"/>
    <w:lvl w:ilvl="0">
      <w:start w:val="4"/>
      <w:numFmt w:val="chineseCounting"/>
      <w:isLgl w:val="false"/>
      <w:suff w:val="tab"/>
      <w:lvlText w:val="第%1章"/>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link w:val="1043"/>
    <w:uiPriority w:val="0"/>
    <w:qFormat/>
    <w:pPr>
      <w:spacing w:before="0" w:beforeAutospacing="0" w:after="200" w:afterAutospacing="0" w:line="276" w:lineRule="auto"/>
    </w:pPr>
    <w:rPr>
      <w:rFonts w:hint="default" w:ascii="Arial" w:hAnsi="Arial" w:eastAsia="Arial" w:cs="Arial"/>
      <w:sz w:val="22"/>
      <w:szCs w:val="22"/>
    </w:rPr>
  </w:style>
  <w:style w:type="paragraph" w:styleId="769">
    <w:name w:val="Heading 1"/>
    <w:basedOn w:val="768"/>
    <w:next w:val="768"/>
    <w:link w:val="841"/>
    <w:uiPriority w:val="9"/>
    <w:qFormat/>
    <w:pPr>
      <w:keepLines/>
      <w:keepNext/>
      <w:spacing w:before="480" w:after="200"/>
      <w:outlineLvl w:val="0"/>
    </w:pPr>
    <w:rPr>
      <w:rFonts w:ascii="Arial" w:hAnsi="Arial" w:eastAsia="Arial" w:cs="Arial"/>
      <w:sz w:val="40"/>
      <w:szCs w:val="40"/>
    </w:rPr>
  </w:style>
  <w:style w:type="paragraph" w:styleId="770">
    <w:name w:val="Heading 2"/>
    <w:basedOn w:val="768"/>
    <w:next w:val="768"/>
    <w:link w:val="842"/>
    <w:uiPriority w:val="9"/>
    <w:unhideWhenUsed/>
    <w:qFormat/>
    <w:pPr>
      <w:keepLines/>
      <w:keepNext/>
      <w:spacing w:before="360" w:after="200"/>
      <w:outlineLvl w:val="1"/>
    </w:pPr>
    <w:rPr>
      <w:rFonts w:ascii="Arial" w:hAnsi="Arial" w:eastAsia="Arial" w:cs="Arial"/>
      <w:sz w:val="34"/>
    </w:rPr>
  </w:style>
  <w:style w:type="paragraph" w:styleId="771">
    <w:name w:val="Heading 3"/>
    <w:basedOn w:val="768"/>
    <w:next w:val="768"/>
    <w:link w:val="843"/>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link w:val="844"/>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45"/>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846"/>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47"/>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48"/>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49"/>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toc 7"/>
    <w:basedOn w:val="768"/>
    <w:next w:val="768"/>
    <w:uiPriority w:val="39"/>
    <w:unhideWhenUsed/>
    <w:qFormat/>
    <w:pPr>
      <w:ind w:left="1701" w:right="0" w:firstLine="0"/>
      <w:spacing w:after="57"/>
    </w:pPr>
  </w:style>
  <w:style w:type="paragraph" w:styleId="781">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toc 5"/>
    <w:basedOn w:val="768"/>
    <w:next w:val="768"/>
    <w:uiPriority w:val="39"/>
    <w:unhideWhenUsed/>
    <w:qFormat/>
    <w:pPr>
      <w:ind w:left="1134" w:right="0" w:firstLine="0"/>
      <w:spacing w:after="57"/>
    </w:pPr>
  </w:style>
  <w:style w:type="paragraph" w:styleId="783">
    <w:name w:val="toc 3"/>
    <w:basedOn w:val="768"/>
    <w:next w:val="768"/>
    <w:uiPriority w:val="39"/>
    <w:unhideWhenUsed/>
    <w:qFormat/>
    <w:pPr>
      <w:ind w:left="567" w:right="0" w:firstLine="0"/>
      <w:spacing w:after="57"/>
    </w:pPr>
  </w:style>
  <w:style w:type="paragraph" w:styleId="784">
    <w:name w:val="toc 8"/>
    <w:basedOn w:val="768"/>
    <w:next w:val="768"/>
    <w:uiPriority w:val="39"/>
    <w:unhideWhenUsed/>
    <w:qFormat/>
    <w:pPr>
      <w:ind w:left="1984" w:right="0" w:firstLine="0"/>
      <w:spacing w:after="57"/>
    </w:pPr>
  </w:style>
  <w:style w:type="paragraph" w:styleId="785">
    <w:name w:val="endnote text"/>
    <w:basedOn w:val="768"/>
    <w:uiPriority w:val="99"/>
    <w:semiHidden/>
    <w:unhideWhenUsed/>
    <w:qFormat/>
    <w:pPr>
      <w:spacing w:after="0" w:line="240" w:lineRule="auto"/>
    </w:pPr>
    <w:rPr>
      <w:sz w:val="20"/>
    </w:rPr>
  </w:style>
  <w:style w:type="paragraph" w:styleId="786">
    <w:name w:val="Footer"/>
    <w:basedOn w:val="768"/>
    <w:uiPriority w:val="99"/>
    <w:unhideWhenUsed/>
    <w:qFormat/>
    <w:pPr>
      <w:spacing w:after="0" w:line="240" w:lineRule="auto"/>
      <w:tabs>
        <w:tab w:val="center" w:pos="7143" w:leader="none"/>
        <w:tab w:val="right" w:pos="14287" w:leader="none"/>
      </w:tabs>
    </w:pPr>
  </w:style>
  <w:style w:type="paragraph" w:styleId="787">
    <w:name w:val="Header"/>
    <w:basedOn w:val="768"/>
    <w:uiPriority w:val="99"/>
    <w:unhideWhenUsed/>
    <w:qFormat/>
    <w:pPr>
      <w:spacing w:after="0" w:line="240" w:lineRule="auto"/>
      <w:tabs>
        <w:tab w:val="center" w:pos="7143" w:leader="none"/>
        <w:tab w:val="right" w:pos="14287" w:leader="none"/>
      </w:tabs>
    </w:pPr>
  </w:style>
  <w:style w:type="paragraph" w:styleId="788">
    <w:name w:val="toc 1"/>
    <w:basedOn w:val="768"/>
    <w:next w:val="768"/>
    <w:uiPriority w:val="39"/>
    <w:unhideWhenUsed/>
    <w:qFormat/>
    <w:pPr>
      <w:ind w:left="0" w:right="0" w:firstLine="0"/>
      <w:spacing w:after="57"/>
    </w:pPr>
  </w:style>
  <w:style w:type="paragraph" w:styleId="789">
    <w:name w:val="toc 4"/>
    <w:basedOn w:val="768"/>
    <w:next w:val="768"/>
    <w:uiPriority w:val="39"/>
    <w:unhideWhenUsed/>
    <w:qFormat/>
    <w:pPr>
      <w:ind w:left="850" w:right="0" w:firstLine="0"/>
      <w:spacing w:after="57"/>
    </w:pPr>
  </w:style>
  <w:style w:type="paragraph" w:styleId="790">
    <w:name w:val="Subtitle"/>
    <w:basedOn w:val="768"/>
    <w:next w:val="768"/>
    <w:uiPriority w:val="11"/>
    <w:qFormat/>
    <w:pPr>
      <w:spacing w:before="200" w:after="200"/>
    </w:pPr>
    <w:rPr>
      <w:sz w:val="24"/>
      <w:szCs w:val="24"/>
    </w:rPr>
  </w:style>
  <w:style w:type="paragraph" w:styleId="791">
    <w:name w:val="footnote text"/>
    <w:basedOn w:val="768"/>
    <w:uiPriority w:val="99"/>
    <w:semiHidden/>
    <w:unhideWhenUsed/>
    <w:qFormat/>
    <w:pPr>
      <w:spacing w:after="40" w:line="240" w:lineRule="auto"/>
    </w:pPr>
    <w:rPr>
      <w:sz w:val="18"/>
    </w:rPr>
  </w:style>
  <w:style w:type="paragraph" w:styleId="792">
    <w:name w:val="toc 6"/>
    <w:basedOn w:val="768"/>
    <w:next w:val="768"/>
    <w:uiPriority w:val="39"/>
    <w:unhideWhenUsed/>
    <w:qFormat/>
    <w:pPr>
      <w:ind w:left="1417" w:right="0" w:firstLine="0"/>
      <w:spacing w:after="57"/>
    </w:pPr>
  </w:style>
  <w:style w:type="paragraph" w:styleId="793">
    <w:name w:val="table of figures"/>
    <w:basedOn w:val="768"/>
    <w:next w:val="768"/>
    <w:uiPriority w:val="99"/>
    <w:unhideWhenUsed/>
    <w:qFormat/>
    <w:pPr>
      <w:spacing w:after="0" w:afterAutospacing="0"/>
    </w:pPr>
  </w:style>
  <w:style w:type="paragraph" w:styleId="794">
    <w:name w:val="toc 2"/>
    <w:basedOn w:val="768"/>
    <w:next w:val="768"/>
    <w:uiPriority w:val="39"/>
    <w:unhideWhenUsed/>
    <w:qFormat/>
    <w:pPr>
      <w:ind w:left="283" w:right="0" w:firstLine="0"/>
      <w:spacing w:after="57"/>
    </w:pPr>
  </w:style>
  <w:style w:type="paragraph" w:styleId="795">
    <w:name w:val="toc 9"/>
    <w:basedOn w:val="768"/>
    <w:next w:val="768"/>
    <w:uiPriority w:val="39"/>
    <w:unhideWhenUsed/>
    <w:qFormat/>
    <w:pPr>
      <w:ind w:left="2268" w:right="0" w:firstLine="0"/>
      <w:spacing w:after="57"/>
    </w:pPr>
  </w:style>
  <w:style w:type="paragraph" w:styleId="796">
    <w:name w:val="Normal (Web)"/>
    <w:basedOn w:val="768"/>
    <w:uiPriority w:val="0"/>
    <w:qFormat/>
    <w:pPr>
      <w:ind w:left="0" w:right="0"/>
      <w:jc w:val="left"/>
      <w:spacing w:before="0" w:beforeAutospacing="1" w:after="0" w:afterAutospacing="1"/>
    </w:pPr>
    <w:rPr>
      <w:sz w:val="24"/>
      <w:lang w:val="en-US" w:eastAsia="zh-CN" w:bidi="ar"/>
    </w:rPr>
  </w:style>
  <w:style w:type="paragraph" w:styleId="797">
    <w:name w:val="Title"/>
    <w:basedOn w:val="768"/>
    <w:next w:val="768"/>
    <w:uiPriority w:val="10"/>
    <w:qFormat/>
    <w:pPr>
      <w:contextualSpacing/>
      <w:spacing w:before="300" w:after="200"/>
    </w:pPr>
    <w:rPr>
      <w:sz w:val="48"/>
      <w:szCs w:val="48"/>
    </w:rPr>
  </w:style>
  <w:style w:type="table" w:styleId="7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Strong"/>
    <w:basedOn w:val="778"/>
    <w:uiPriority w:val="22"/>
    <w:qFormat/>
    <w:rPr>
      <w:b/>
      <w:bCs/>
    </w:rPr>
  </w:style>
  <w:style w:type="character" w:styleId="800">
    <w:name w:val="endnote reference"/>
    <w:uiPriority w:val="99"/>
    <w:semiHidden/>
    <w:unhideWhenUsed/>
    <w:qFormat/>
    <w:rPr>
      <w:vertAlign w:val="superscript"/>
    </w:rPr>
  </w:style>
  <w:style w:type="character" w:styleId="801">
    <w:name w:val="Hyperlink"/>
    <w:uiPriority w:val="99"/>
    <w:unhideWhenUsed/>
    <w:qFormat/>
    <w:rPr>
      <w:color w:val="0000ff" w:themeColor="hyperlink"/>
      <w:u w:val="single"/>
      <w14:textFill>
        <w14:solidFill>
          <w14:schemeClr w14:val="hlink"/>
        </w14:solidFill>
      </w14:textFill>
    </w:rPr>
  </w:style>
  <w:style w:type="character" w:styleId="802">
    <w:name w:val="footnote reference"/>
    <w:uiPriority w:val="99"/>
    <w:unhideWhenUsed/>
    <w:qFormat/>
    <w:rPr>
      <w:vertAlign w:val="superscript"/>
    </w:rPr>
  </w:style>
  <w:style w:type="paragraph" w:styleId="803" w:customStyle="1">
    <w:name w:val="文本块12"/>
    <w:basedOn w:val="768"/>
    <w:uiPriority w:val="0"/>
    <w:qFormat/>
    <w:pPr>
      <w:ind w:left="256" w:right="6" w:firstLine="624"/>
    </w:pPr>
    <w:rPr>
      <w:rFonts w:ascii="Times New Roman" w:hAnsi="Times New Roman" w:eastAsia="仿宋_GB2312"/>
      <w:sz w:val="28"/>
      <w:szCs w:val="20"/>
    </w:rPr>
  </w:style>
  <w:style w:type="character" w:styleId="804" w:customStyle="1">
    <w:name w:val="默认段落字体1"/>
    <w:link w:val="768"/>
    <w:uiPriority w:val="1"/>
    <w:unhideWhenUsed/>
    <w:qFormat/>
  </w:style>
  <w:style w:type="table" w:styleId="805" w:customStyle="1">
    <w:name w:val="普通表格1"/>
    <w:uiPriority w:val="99"/>
    <w:unhideWhenUsed/>
    <w:qFormat/>
    <w:tblPr/>
  </w:style>
  <w:style w:type="paragraph" w:styleId="806" w:customStyle="1">
    <w:name w:val="目录 71"/>
    <w:basedOn w:val="768"/>
    <w:next w:val="768"/>
    <w:uiPriority w:val="39"/>
    <w:unhideWhenUsed/>
    <w:qFormat/>
    <w:pPr>
      <w:ind w:left="1701" w:right="0" w:firstLine="0"/>
      <w:spacing w:after="57"/>
    </w:pPr>
  </w:style>
  <w:style w:type="paragraph" w:styleId="807" w:customStyle="1">
    <w:name w:val="索引 511"/>
    <w:basedOn w:val="768"/>
    <w:next w:val="768"/>
    <w:uiPriority w:val="0"/>
    <w:qFormat/>
    <w:pPr>
      <w:ind w:left="798"/>
    </w:pPr>
    <w:rPr>
      <w:rFonts w:ascii="Calibri" w:hAnsi="Calibri"/>
      <w:sz w:val="21"/>
    </w:rPr>
  </w:style>
  <w:style w:type="paragraph" w:styleId="808" w:customStyle="1">
    <w:name w:val="批注文字1"/>
    <w:basedOn w:val="768"/>
    <w:uiPriority w:val="99"/>
    <w:unhideWhenUsed/>
    <w:qFormat/>
    <w:pPr>
      <w:jc w:val="left"/>
    </w:pPr>
  </w:style>
  <w:style w:type="paragraph" w:styleId="809" w:customStyle="1">
    <w:name w:val="正文文本121"/>
    <w:basedOn w:val="768"/>
    <w:uiPriority w:val="1"/>
    <w:qFormat/>
    <w:pPr>
      <w:spacing w:after="120"/>
    </w:pPr>
  </w:style>
  <w:style w:type="paragraph" w:styleId="810" w:customStyle="1">
    <w:name w:val="正文文本缩进111"/>
    <w:basedOn w:val="768"/>
    <w:uiPriority w:val="99"/>
    <w:unhideWhenUsed/>
    <w:qFormat/>
    <w:pPr>
      <w:ind w:firstLine="425"/>
      <w:spacing w:line="360" w:lineRule="auto"/>
    </w:pPr>
  </w:style>
  <w:style w:type="paragraph" w:styleId="811" w:customStyle="1">
    <w:name w:val="索引 411"/>
    <w:basedOn w:val="768"/>
    <w:next w:val="768"/>
    <w:uiPriority w:val="0"/>
    <w:qFormat/>
    <w:pPr>
      <w:ind w:left="1260"/>
    </w:pPr>
  </w:style>
  <w:style w:type="paragraph" w:styleId="812" w:customStyle="1">
    <w:name w:val="目录 51"/>
    <w:basedOn w:val="768"/>
    <w:next w:val="768"/>
    <w:uiPriority w:val="39"/>
    <w:unhideWhenUsed/>
    <w:qFormat/>
    <w:pPr>
      <w:ind w:left="1134" w:right="0" w:firstLine="0"/>
      <w:spacing w:after="57"/>
    </w:pPr>
  </w:style>
  <w:style w:type="paragraph" w:styleId="813" w:customStyle="1">
    <w:name w:val="目录 31"/>
    <w:basedOn w:val="768"/>
    <w:next w:val="768"/>
    <w:uiPriority w:val="39"/>
    <w:unhideWhenUsed/>
    <w:qFormat/>
    <w:pPr>
      <w:ind w:left="567" w:right="0" w:firstLine="0"/>
      <w:spacing w:after="57"/>
    </w:pPr>
  </w:style>
  <w:style w:type="paragraph" w:styleId="814" w:customStyle="1">
    <w:name w:val="纯文本1"/>
    <w:basedOn w:val="768"/>
    <w:uiPriority w:val="0"/>
    <w:unhideWhenUsed/>
    <w:qFormat/>
    <w:rPr>
      <w:rFonts w:ascii="宋体" w:hAnsi="Courier New"/>
    </w:rPr>
  </w:style>
  <w:style w:type="paragraph" w:styleId="815" w:customStyle="1">
    <w:name w:val="目录 81"/>
    <w:basedOn w:val="768"/>
    <w:next w:val="768"/>
    <w:uiPriority w:val="39"/>
    <w:unhideWhenUsed/>
    <w:qFormat/>
    <w:pPr>
      <w:ind w:left="1984" w:right="0" w:firstLine="0"/>
      <w:spacing w:after="57"/>
    </w:pPr>
  </w:style>
  <w:style w:type="paragraph" w:styleId="816" w:customStyle="1">
    <w:name w:val="日期1"/>
    <w:basedOn w:val="768"/>
    <w:next w:val="768"/>
    <w:uiPriority w:val="99"/>
    <w:qFormat/>
    <w:pPr>
      <w:ind w:firstLine="0"/>
    </w:pPr>
    <w:rPr>
      <w:rFonts w:hint="eastAsia" w:ascii="仿宋_GB2312" w:hAnsi="Calibri" w:eastAsia="仿宋_GB2312"/>
      <w:sz w:val="30"/>
      <w:szCs w:val="20"/>
      <w:lang w:bidi="he-IL"/>
    </w:rPr>
  </w:style>
  <w:style w:type="paragraph" w:styleId="817" w:customStyle="1">
    <w:name w:val="尾注文本1"/>
    <w:basedOn w:val="768"/>
    <w:link w:val="818"/>
    <w:uiPriority w:val="99"/>
    <w:unhideWhenUsed/>
    <w:qFormat/>
    <w:pPr>
      <w:spacing w:after="0" w:line="240" w:lineRule="auto"/>
    </w:pPr>
    <w:rPr>
      <w:sz w:val="20"/>
    </w:rPr>
  </w:style>
  <w:style w:type="character" w:styleId="818" w:customStyle="1">
    <w:name w:val="Endnote Text Char"/>
    <w:link w:val="817"/>
    <w:uiPriority w:val="99"/>
    <w:qFormat/>
    <w:rPr>
      <w:sz w:val="20"/>
    </w:rPr>
  </w:style>
  <w:style w:type="paragraph" w:styleId="819" w:customStyle="1">
    <w:name w:val="页脚1"/>
    <w:basedOn w:val="768"/>
    <w:uiPriority w:val="99"/>
    <w:unhideWhenUsed/>
    <w:qFormat/>
    <w:pPr>
      <w:jc w:val="left"/>
      <w:tabs>
        <w:tab w:val="center" w:pos="4153" w:leader="none"/>
        <w:tab w:val="right" w:pos="8306" w:leader="none"/>
      </w:tabs>
    </w:pPr>
    <w:rPr>
      <w:sz w:val="18"/>
    </w:rPr>
  </w:style>
  <w:style w:type="paragraph" w:styleId="820" w:customStyle="1">
    <w:name w:val="寄信人地址111"/>
    <w:basedOn w:val="768"/>
    <w:uiPriority w:val="0"/>
    <w:qFormat/>
    <w:rPr>
      <w:rFonts w:ascii="Arial" w:hAnsi="Arial"/>
    </w:rPr>
  </w:style>
  <w:style w:type="paragraph" w:styleId="821" w:customStyle="1">
    <w:name w:val="页眉1"/>
    <w:basedOn w:val="768"/>
    <w:uiPriority w:val="99"/>
    <w:unhideWhenUsed/>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22" w:customStyle="1">
    <w:name w:val="目录 11111"/>
    <w:basedOn w:val="768"/>
    <w:next w:val="768"/>
    <w:uiPriority w:val="39"/>
    <w:unhideWhenUsed/>
    <w:qFormat/>
    <w:pPr>
      <w:ind w:left="0" w:right="0" w:firstLine="0"/>
      <w:spacing w:after="57"/>
    </w:pPr>
  </w:style>
  <w:style w:type="paragraph" w:styleId="823" w:customStyle="1">
    <w:name w:val="目录 41"/>
    <w:basedOn w:val="768"/>
    <w:next w:val="768"/>
    <w:uiPriority w:val="39"/>
    <w:unhideWhenUsed/>
    <w:qFormat/>
    <w:pPr>
      <w:ind w:left="850" w:right="0" w:firstLine="0"/>
      <w:spacing w:after="57"/>
    </w:pPr>
  </w:style>
  <w:style w:type="paragraph" w:styleId="824" w:customStyle="1">
    <w:name w:val="副标题1"/>
    <w:basedOn w:val="768"/>
    <w:next w:val="768"/>
    <w:link w:val="825"/>
    <w:uiPriority w:val="11"/>
    <w:qFormat/>
    <w:pPr>
      <w:spacing w:before="200" w:after="200"/>
    </w:pPr>
    <w:rPr>
      <w:sz w:val="24"/>
      <w:szCs w:val="24"/>
    </w:rPr>
  </w:style>
  <w:style w:type="character" w:styleId="825" w:customStyle="1">
    <w:name w:val="Subtitle Char"/>
    <w:link w:val="824"/>
    <w:uiPriority w:val="11"/>
    <w:qFormat/>
    <w:rPr>
      <w:sz w:val="24"/>
      <w:szCs w:val="24"/>
    </w:rPr>
  </w:style>
  <w:style w:type="paragraph" w:styleId="826" w:customStyle="1">
    <w:name w:val="脚注文本11"/>
    <w:basedOn w:val="768"/>
    <w:next w:val="807"/>
    <w:link w:val="827"/>
    <w:uiPriority w:val="99"/>
    <w:unhideWhenUsed/>
    <w:qFormat/>
    <w:pPr>
      <w:spacing w:after="40" w:line="240" w:lineRule="auto"/>
    </w:pPr>
    <w:rPr>
      <w:sz w:val="18"/>
    </w:rPr>
  </w:style>
  <w:style w:type="character" w:styleId="827" w:customStyle="1">
    <w:name w:val="Footnote Text Char"/>
    <w:link w:val="826"/>
    <w:uiPriority w:val="99"/>
    <w:qFormat/>
    <w:rPr>
      <w:sz w:val="18"/>
    </w:rPr>
  </w:style>
  <w:style w:type="paragraph" w:styleId="828" w:customStyle="1">
    <w:name w:val="目录 61"/>
    <w:basedOn w:val="768"/>
    <w:next w:val="768"/>
    <w:uiPriority w:val="39"/>
    <w:unhideWhenUsed/>
    <w:qFormat/>
    <w:pPr>
      <w:ind w:left="1417" w:right="0" w:firstLine="0"/>
      <w:spacing w:after="57"/>
    </w:pPr>
  </w:style>
  <w:style w:type="paragraph" w:styleId="829" w:customStyle="1">
    <w:name w:val="图表目录1"/>
    <w:basedOn w:val="768"/>
    <w:next w:val="768"/>
    <w:uiPriority w:val="99"/>
    <w:unhideWhenUsed/>
    <w:qFormat/>
    <w:pPr>
      <w:spacing w:after="0" w:afterAutospacing="0"/>
    </w:pPr>
  </w:style>
  <w:style w:type="paragraph" w:styleId="830" w:customStyle="1">
    <w:name w:val="目录 21"/>
    <w:basedOn w:val="768"/>
    <w:next w:val="768"/>
    <w:uiPriority w:val="39"/>
    <w:unhideWhenUsed/>
    <w:qFormat/>
    <w:pPr>
      <w:ind w:left="283" w:right="0" w:firstLine="0"/>
      <w:spacing w:after="57"/>
    </w:pPr>
  </w:style>
  <w:style w:type="paragraph" w:styleId="831" w:customStyle="1">
    <w:name w:val="目录 91"/>
    <w:basedOn w:val="768"/>
    <w:next w:val="768"/>
    <w:uiPriority w:val="39"/>
    <w:unhideWhenUsed/>
    <w:qFormat/>
    <w:pPr>
      <w:ind w:left="2268" w:right="0" w:firstLine="0"/>
      <w:spacing w:after="57"/>
    </w:pPr>
  </w:style>
  <w:style w:type="paragraph" w:styleId="832" w:customStyle="1">
    <w:name w:val="普通(网站)1"/>
    <w:basedOn w:val="768"/>
    <w:uiPriority w:val="0"/>
    <w:qFormat/>
    <w:pPr>
      <w:jc w:val="left"/>
      <w:spacing w:before="100" w:beforeAutospacing="1" w:after="100" w:afterAutospacing="1"/>
      <w:widowControl/>
    </w:pPr>
    <w:rPr>
      <w:rFonts w:ascii="宋体" w:hAnsi="宋体" w:cs="宋体"/>
      <w:sz w:val="24"/>
    </w:rPr>
  </w:style>
  <w:style w:type="paragraph" w:styleId="833" w:customStyle="1">
    <w:name w:val="标题11"/>
    <w:basedOn w:val="768"/>
    <w:next w:val="768"/>
    <w:link w:val="834"/>
    <w:uiPriority w:val="10"/>
    <w:qFormat/>
    <w:pPr>
      <w:contextualSpacing/>
      <w:spacing w:before="300" w:after="200"/>
    </w:pPr>
    <w:rPr>
      <w:sz w:val="48"/>
      <w:szCs w:val="48"/>
    </w:rPr>
  </w:style>
  <w:style w:type="character" w:styleId="834" w:customStyle="1">
    <w:name w:val="Title Char"/>
    <w:link w:val="833"/>
    <w:uiPriority w:val="10"/>
    <w:qFormat/>
    <w:rPr>
      <w:sz w:val="48"/>
      <w:szCs w:val="48"/>
    </w:rPr>
  </w:style>
  <w:style w:type="paragraph" w:styleId="835" w:customStyle="1">
    <w:name w:val="正文首行缩进111"/>
    <w:basedOn w:val="809"/>
    <w:next w:val="836"/>
    <w:uiPriority w:val="0"/>
    <w:qFormat/>
    <w:pPr>
      <w:ind w:firstLine="200"/>
      <w:spacing w:line="360" w:lineRule="auto"/>
    </w:pPr>
    <w:rPr>
      <w:rFonts w:ascii="仿宋_GB2312" w:eastAsia="仿宋_GB2312"/>
      <w:sz w:val="30"/>
      <w:szCs w:val="30"/>
    </w:rPr>
  </w:style>
  <w:style w:type="paragraph" w:styleId="836" w:customStyle="1">
    <w:name w:val="正文首行缩进 2111"/>
    <w:basedOn w:val="810"/>
    <w:next w:val="768"/>
    <w:uiPriority w:val="99"/>
    <w:unhideWhenUsed/>
    <w:qFormat/>
    <w:pPr>
      <w:ind w:firstLine="420"/>
    </w:pPr>
  </w:style>
  <w:style w:type="table" w:styleId="837" w:customStyle="1">
    <w:name w:val="网格型1"/>
    <w:basedOn w:val="805"/>
    <w:uiPriority w:val="59"/>
    <w:qFormat/>
    <w:pPr>
      <w:spacing w:after="0" w:line="240" w:lineRule="auto"/>
    </w:pPr>
    <w:tblPr/>
  </w:style>
  <w:style w:type="character" w:styleId="838" w:customStyle="1">
    <w:name w:val="尾注引用1"/>
    <w:link w:val="768"/>
    <w:uiPriority w:val="99"/>
    <w:unhideWhenUsed/>
    <w:qFormat/>
    <w:rPr>
      <w:vertAlign w:val="superscript"/>
    </w:rPr>
  </w:style>
  <w:style w:type="character" w:styleId="839" w:customStyle="1">
    <w:name w:val="超链接1"/>
    <w:basedOn w:val="804"/>
    <w:link w:val="768"/>
    <w:uiPriority w:val="99"/>
    <w:unhideWhenUsed/>
    <w:qFormat/>
    <w:rPr>
      <w:color w:val="0563c1"/>
      <w:u w:val="single"/>
    </w:rPr>
  </w:style>
  <w:style w:type="character" w:styleId="840" w:customStyle="1">
    <w:name w:val="脚注引用1"/>
    <w:link w:val="768"/>
    <w:uiPriority w:val="99"/>
    <w:unhideWhenUsed/>
    <w:qFormat/>
    <w:rPr>
      <w:vertAlign w:val="superscript"/>
    </w:rPr>
  </w:style>
  <w:style w:type="character" w:styleId="841" w:customStyle="1">
    <w:name w:val="Heading 1 Char"/>
    <w:link w:val="769"/>
    <w:uiPriority w:val="9"/>
    <w:qFormat/>
    <w:rPr>
      <w:rFonts w:ascii="Arial" w:hAnsi="Arial" w:eastAsia="Arial" w:cs="Arial"/>
      <w:sz w:val="40"/>
      <w:szCs w:val="40"/>
    </w:rPr>
  </w:style>
  <w:style w:type="character" w:styleId="842" w:customStyle="1">
    <w:name w:val="Heading 2 Char"/>
    <w:link w:val="770"/>
    <w:uiPriority w:val="9"/>
    <w:qFormat/>
    <w:rPr>
      <w:rFonts w:ascii="Arial" w:hAnsi="Arial" w:eastAsia="Arial" w:cs="Arial"/>
      <w:sz w:val="34"/>
    </w:rPr>
  </w:style>
  <w:style w:type="character" w:styleId="843" w:customStyle="1">
    <w:name w:val="Heading 3 Char"/>
    <w:link w:val="771"/>
    <w:uiPriority w:val="9"/>
    <w:qFormat/>
    <w:rPr>
      <w:rFonts w:ascii="Arial" w:hAnsi="Arial" w:eastAsia="Arial" w:cs="Arial"/>
      <w:sz w:val="30"/>
      <w:szCs w:val="30"/>
    </w:rPr>
  </w:style>
  <w:style w:type="character" w:styleId="844" w:customStyle="1">
    <w:name w:val="Heading 4 Char"/>
    <w:link w:val="772"/>
    <w:uiPriority w:val="9"/>
    <w:qFormat/>
    <w:rPr>
      <w:rFonts w:ascii="Arial" w:hAnsi="Arial" w:eastAsia="Arial" w:cs="Arial"/>
      <w:b/>
      <w:bCs/>
      <w:sz w:val="26"/>
      <w:szCs w:val="26"/>
    </w:rPr>
  </w:style>
  <w:style w:type="character" w:styleId="845" w:customStyle="1">
    <w:name w:val="Heading 5 Char"/>
    <w:link w:val="773"/>
    <w:uiPriority w:val="9"/>
    <w:qFormat/>
    <w:rPr>
      <w:rFonts w:ascii="Arial" w:hAnsi="Arial" w:eastAsia="Arial" w:cs="Arial"/>
      <w:b/>
      <w:bCs/>
      <w:sz w:val="24"/>
      <w:szCs w:val="24"/>
    </w:rPr>
  </w:style>
  <w:style w:type="character" w:styleId="846" w:customStyle="1">
    <w:name w:val="Heading 6 Char"/>
    <w:link w:val="774"/>
    <w:uiPriority w:val="9"/>
    <w:qFormat/>
    <w:rPr>
      <w:rFonts w:ascii="Arial" w:hAnsi="Arial" w:eastAsia="Arial" w:cs="Arial"/>
      <w:b/>
      <w:bCs/>
      <w:sz w:val="22"/>
      <w:szCs w:val="22"/>
    </w:rPr>
  </w:style>
  <w:style w:type="character" w:styleId="847" w:customStyle="1">
    <w:name w:val="Heading 7 Char"/>
    <w:link w:val="775"/>
    <w:uiPriority w:val="9"/>
    <w:qFormat/>
    <w:rPr>
      <w:rFonts w:ascii="Arial" w:hAnsi="Arial" w:eastAsia="Arial" w:cs="Arial"/>
      <w:b/>
      <w:bCs/>
      <w:i/>
      <w:iCs/>
      <w:sz w:val="22"/>
      <w:szCs w:val="22"/>
    </w:rPr>
  </w:style>
  <w:style w:type="character" w:styleId="848" w:customStyle="1">
    <w:name w:val="Heading 8 Char"/>
    <w:link w:val="776"/>
    <w:uiPriority w:val="9"/>
    <w:qFormat/>
    <w:rPr>
      <w:rFonts w:ascii="Arial" w:hAnsi="Arial" w:eastAsia="Arial" w:cs="Arial"/>
      <w:i/>
      <w:iCs/>
      <w:sz w:val="22"/>
      <w:szCs w:val="22"/>
    </w:rPr>
  </w:style>
  <w:style w:type="character" w:styleId="849" w:customStyle="1">
    <w:name w:val="Heading 9 Char"/>
    <w:link w:val="777"/>
    <w:uiPriority w:val="9"/>
    <w:qFormat/>
    <w:rPr>
      <w:rFonts w:ascii="Arial" w:hAnsi="Arial" w:eastAsia="Arial" w:cs="Arial"/>
      <w:i/>
      <w:iCs/>
      <w:sz w:val="21"/>
      <w:szCs w:val="21"/>
    </w:rPr>
  </w:style>
  <w:style w:type="paragraph" w:styleId="850" w:customStyle="1">
    <w:name w:val="Caption1"/>
    <w:basedOn w:val="768"/>
    <w:next w:val="768"/>
    <w:uiPriority w:val="35"/>
    <w:unhideWhenUsed/>
    <w:qFormat/>
    <w:pPr>
      <w:spacing w:line="276" w:lineRule="auto"/>
    </w:pPr>
    <w:rPr>
      <w:b/>
      <w:bCs/>
      <w:color w:val="5b9bd5"/>
      <w:sz w:val="18"/>
      <w:szCs w:val="18"/>
    </w:rPr>
  </w:style>
  <w:style w:type="paragraph" w:styleId="851" w:customStyle="1">
    <w:name w:val="Footer1"/>
    <w:basedOn w:val="768"/>
    <w:link w:val="853"/>
    <w:uiPriority w:val="99"/>
    <w:unhideWhenUsed/>
    <w:qFormat/>
    <w:pPr>
      <w:spacing w:after="0" w:line="240" w:lineRule="auto"/>
      <w:tabs>
        <w:tab w:val="center" w:pos="7143" w:leader="none"/>
        <w:tab w:val="right" w:pos="14287" w:leader="none"/>
      </w:tabs>
    </w:pPr>
  </w:style>
  <w:style w:type="character" w:styleId="852" w:customStyle="1">
    <w:name w:val="Footer Char"/>
    <w:link w:val="851"/>
    <w:uiPriority w:val="99"/>
    <w:qFormat/>
  </w:style>
  <w:style w:type="character" w:styleId="853" w:customStyle="1">
    <w:name w:val="Caption Char"/>
    <w:link w:val="851"/>
    <w:uiPriority w:val="99"/>
    <w:qFormat/>
  </w:style>
  <w:style w:type="paragraph" w:styleId="854" w:customStyle="1">
    <w:name w:val="Header1"/>
    <w:basedOn w:val="768"/>
    <w:link w:val="855"/>
    <w:uiPriority w:val="99"/>
    <w:unhideWhenUsed/>
    <w:qFormat/>
    <w:pPr>
      <w:spacing w:after="0" w:line="240" w:lineRule="auto"/>
      <w:tabs>
        <w:tab w:val="center" w:pos="7143" w:leader="none"/>
        <w:tab w:val="right" w:pos="14287" w:leader="none"/>
      </w:tabs>
    </w:pPr>
  </w:style>
  <w:style w:type="character" w:styleId="855" w:customStyle="1">
    <w:name w:val="Header Char"/>
    <w:link w:val="854"/>
    <w:uiPriority w:val="99"/>
    <w:qFormat/>
  </w:style>
  <w:style w:type="paragraph" w:styleId="856" w:customStyle="1">
    <w:name w:val="一级条标题"/>
    <w:basedOn w:val="857"/>
    <w:next w:val="8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7" w:customStyle="1">
    <w:name w:val="章标题"/>
    <w:next w:val="85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eastAsia="zh-CN"/>
    </w:rPr>
  </w:style>
  <w:style w:type="paragraph" w:styleId="858" w:customStyle="1">
    <w:name w:val="正文112"/>
    <w:next w:val="859"/>
    <w:uiPriority w:val="0"/>
    <w:qFormat/>
    <w:pPr>
      <w:jc w:val="both"/>
      <w:widowControl w:val="off"/>
    </w:pPr>
    <w:rPr>
      <w:rFonts w:hint="default" w:ascii="Times New Roman" w:hAnsi="Times New Roman" w:eastAsia="宋体" w:cs="Times New Roman"/>
      <w:sz w:val="21"/>
      <w:szCs w:val="24"/>
      <w:lang w:eastAsia="zh-CN"/>
    </w:rPr>
  </w:style>
  <w:style w:type="paragraph" w:styleId="859" w:customStyle="1">
    <w:name w:val="正文1"/>
    <w:basedOn w:val="860"/>
    <w:next w:val="861"/>
    <w:uiPriority w:val="0"/>
    <w:qFormat/>
  </w:style>
  <w:style w:type="paragraph" w:styleId="860" w:customStyle="1">
    <w:name w:val="正文11"/>
    <w:next w:val="768"/>
    <w:uiPriority w:val="0"/>
    <w:qFormat/>
    <w:pPr>
      <w:jc w:val="both"/>
      <w:widowControl w:val="off"/>
    </w:pPr>
    <w:rPr>
      <w:rFonts w:hint="default" w:ascii="Times New Roman" w:hAnsi="Times New Roman" w:eastAsia="宋体" w:cs="Times New Roman"/>
      <w:sz w:val="21"/>
      <w:szCs w:val="24"/>
      <w:lang w:eastAsia="zh-CN"/>
    </w:rPr>
  </w:style>
  <w:style w:type="paragraph" w:styleId="861" w:customStyle="1">
    <w:name w:val="脚注文本1"/>
    <w:basedOn w:val="859"/>
    <w:next w:val="862"/>
    <w:uiPriority w:val="0"/>
    <w:qFormat/>
    <w:pPr>
      <w:jc w:val="left"/>
    </w:pPr>
    <w:rPr>
      <w:rFonts w:ascii="宋体" w:eastAsia="Times New Roman"/>
      <w:sz w:val="18"/>
      <w:szCs w:val="18"/>
    </w:rPr>
  </w:style>
  <w:style w:type="paragraph" w:styleId="862" w:customStyle="1">
    <w:name w:val="索引 51"/>
    <w:basedOn w:val="859"/>
    <w:next w:val="859"/>
    <w:uiPriority w:val="0"/>
    <w:qFormat/>
    <w:pPr>
      <w:ind w:left="798"/>
      <w:jc w:val="left"/>
    </w:pPr>
    <w:rPr>
      <w:rFonts w:ascii="Calibri" w:hAnsi="Calibri"/>
    </w:rPr>
  </w:style>
  <w:style w:type="paragraph" w:styleId="863" w:customStyle="1">
    <w:name w:val="段"/>
    <w:basedOn w:val="859"/>
    <w:next w:val="768"/>
    <w:uiPriority w:val="0"/>
    <w:qFormat/>
    <w:pPr>
      <w:ind w:firstLine="200"/>
      <w:jc w:val="both"/>
    </w:pPr>
    <w:rPr>
      <w:rFonts w:ascii="宋体" w:hAnsi="Calibri" w:eastAsia="宋体" w:cs="Times New Roman"/>
      <w:sz w:val="21"/>
      <w:szCs w:val="22"/>
      <w:lang w:val="en-US" w:eastAsia="zh-CN" w:bidi="ar-SA"/>
    </w:rPr>
  </w:style>
  <w:style w:type="paragraph" w:styleId="864" w:customStyle="1">
    <w:name w:val="目录 11"/>
    <w:basedOn w:val="865"/>
    <w:next w:val="860"/>
    <w:uiPriority w:val="0"/>
    <w:qFormat/>
    <w:pPr>
      <w:jc w:val="left"/>
      <w:spacing w:after="100" w:line="259" w:lineRule="auto"/>
      <w:widowControl/>
    </w:pPr>
    <w:rPr>
      <w:rFonts w:ascii="Calibri" w:hAnsi="Calibri" w:eastAsia="宋体"/>
      <w:sz w:val="22"/>
      <w:szCs w:val="22"/>
    </w:rPr>
  </w:style>
  <w:style w:type="paragraph" w:styleId="865" w:customStyle="1">
    <w:name w:val="正文12"/>
    <w:next w:val="861"/>
    <w:uiPriority w:val="0"/>
    <w:qFormat/>
    <w:pPr>
      <w:jc w:val="both"/>
      <w:widowControl w:val="off"/>
    </w:pPr>
    <w:rPr>
      <w:rFonts w:hint="default" w:ascii="Times New Roman" w:hAnsi="Times New Roman" w:eastAsia="宋体" w:cs="Times New Roman"/>
      <w:sz w:val="21"/>
      <w:szCs w:val="24"/>
      <w:lang w:eastAsia="zh-CN"/>
    </w:rPr>
  </w:style>
  <w:style w:type="paragraph" w:styleId="866" w:customStyle="1">
    <w:name w:val="文本块11"/>
    <w:basedOn w:val="867"/>
    <w:uiPriority w:val="0"/>
    <w:qFormat/>
    <w:pPr>
      <w:ind w:left="256" w:right="6" w:firstLine="624"/>
    </w:pPr>
    <w:rPr>
      <w:rFonts w:eastAsia="仿宋_GB2312"/>
      <w:sz w:val="28"/>
      <w:szCs w:val="20"/>
    </w:rPr>
  </w:style>
  <w:style w:type="paragraph" w:styleId="867" w:customStyle="1">
    <w:name w:val="正文121"/>
    <w:next w:val="866"/>
    <w:uiPriority w:val="0"/>
    <w:qFormat/>
    <w:pPr>
      <w:jc w:val="both"/>
      <w:widowControl w:val="off"/>
    </w:pPr>
    <w:rPr>
      <w:rFonts w:hint="default" w:ascii="Times New Roman" w:hAnsi="Times New Roman" w:eastAsia="宋体" w:cs="Times New Roman"/>
      <w:sz w:val="21"/>
      <w:szCs w:val="24"/>
      <w:lang w:eastAsia="zh-CN"/>
    </w:rPr>
  </w:style>
  <w:style w:type="paragraph" w:styleId="868" w:customStyle="1">
    <w:name w:val="正文111"/>
    <w:next w:val="768"/>
    <w:uiPriority w:val="0"/>
    <w:qFormat/>
    <w:pPr>
      <w:jc w:val="both"/>
      <w:widowControl w:val="off"/>
    </w:pPr>
    <w:rPr>
      <w:rFonts w:hint="default" w:ascii="Times New Roman" w:hAnsi="Times New Roman" w:eastAsia="宋体" w:cs="Times New Roman"/>
      <w:sz w:val="21"/>
      <w:szCs w:val="24"/>
    </w:rPr>
  </w:style>
  <w:style w:type="paragraph" w:styleId="869" w:customStyle="1">
    <w:name w:val="目录 111"/>
    <w:basedOn w:val="865"/>
    <w:next w:val="768"/>
    <w:uiPriority w:val="0"/>
    <w:qFormat/>
  </w:style>
  <w:style w:type="paragraph" w:styleId="870" w:customStyle="1">
    <w:name w:val="正文文本111"/>
    <w:basedOn w:val="865"/>
    <w:next w:val="865"/>
    <w:uiPriority w:val="0"/>
    <w:qFormat/>
  </w:style>
  <w:style w:type="paragraph" w:styleId="871" w:customStyle="1">
    <w:name w:val="正文首行缩进 21"/>
    <w:basedOn w:val="872"/>
    <w:next w:val="768"/>
    <w:uiPriority w:val="0"/>
    <w:qFormat/>
    <w:pPr>
      <w:ind w:firstLine="420"/>
      <w:spacing w:line="357" w:lineRule="atLeast"/>
    </w:pPr>
    <w:rPr>
      <w:color w:val="000000"/>
      <w:sz w:val="20"/>
      <w:szCs w:val="20"/>
    </w:rPr>
  </w:style>
  <w:style w:type="paragraph" w:styleId="872" w:customStyle="1">
    <w:name w:val="正文文本缩进1"/>
    <w:basedOn w:val="860"/>
    <w:uiPriority w:val="0"/>
    <w:qFormat/>
    <w:pPr>
      <w:ind w:left="420"/>
      <w:spacing w:after="120"/>
    </w:pPr>
    <w:rPr>
      <w:rFonts w:ascii="Calibri" w:hAnsi="Calibri"/>
    </w:rPr>
  </w:style>
  <w:style w:type="paragraph" w:styleId="873" w:customStyle="1">
    <w:name w:val="寄信人地址1"/>
    <w:basedOn w:val="860"/>
    <w:uiPriority w:val="0"/>
    <w:qFormat/>
    <w:rPr>
      <w:rFonts w:ascii="Arial" w:hAnsi="Arial"/>
    </w:rPr>
  </w:style>
  <w:style w:type="paragraph" w:styleId="874" w:customStyle="1">
    <w:name w:val="正文首行缩进1"/>
    <w:basedOn w:val="875"/>
    <w:next w:val="871"/>
    <w:uiPriority w:val="0"/>
    <w:qFormat/>
    <w:pPr>
      <w:ind w:firstLine="420"/>
    </w:pPr>
  </w:style>
  <w:style w:type="paragraph" w:styleId="875" w:customStyle="1">
    <w:name w:val="正文文本11"/>
    <w:basedOn w:val="865"/>
    <w:next w:val="856"/>
    <w:uiPriority w:val="0"/>
    <w:qFormat/>
    <w:pPr>
      <w:spacing w:after="120"/>
    </w:pPr>
  </w:style>
  <w:style w:type="paragraph" w:styleId="876" w:customStyle="1">
    <w:name w:val="正文文本1"/>
    <w:basedOn w:val="859"/>
    <w:next w:val="860"/>
    <w:uiPriority w:val="0"/>
    <w:qFormat/>
    <w:pPr>
      <w:spacing w:after="120"/>
    </w:pPr>
    <w:rPr>
      <w:rFonts w:ascii="Calibri" w:hAnsi="Calibri"/>
      <w:lang w:eastAsia="en-US"/>
    </w:rPr>
  </w:style>
  <w:style w:type="paragraph" w:styleId="877" w:customStyle="1">
    <w:name w:val="索引 41"/>
    <w:basedOn w:val="859"/>
    <w:next w:val="768"/>
    <w:uiPriority w:val="0"/>
    <w:qFormat/>
    <w:pPr>
      <w:ind w:left="600"/>
    </w:pPr>
    <w:rPr>
      <w:rFonts w:ascii="Calibri" w:hAnsi="Calibri"/>
      <w:sz w:val="22"/>
      <w:szCs w:val="22"/>
    </w:rPr>
  </w:style>
  <w:style w:type="paragraph" w:styleId="878" w:customStyle="1">
    <w:name w:val="标题 21"/>
    <w:basedOn w:val="860"/>
    <w:next w:val="76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79" w:customStyle="1">
    <w:name w:val="BodyText1I1"/>
    <w:basedOn w:val="880"/>
    <w:next w:val="860"/>
    <w:uiPriority w:val="0"/>
    <w:qFormat/>
    <w:pPr>
      <w:ind w:firstLine="420"/>
    </w:pPr>
  </w:style>
  <w:style w:type="paragraph" w:styleId="880" w:customStyle="1">
    <w:name w:val="BodyText1"/>
    <w:basedOn w:val="768"/>
    <w:next w:val="860"/>
    <w:uiPriority w:val="0"/>
    <w:qFormat/>
    <w:pPr>
      <w:spacing w:line="380" w:lineRule="exact"/>
    </w:pPr>
  </w:style>
  <w:style w:type="paragraph" w:styleId="881" w:customStyle="1">
    <w:name w:val="正文文本缩进11"/>
    <w:basedOn w:val="868"/>
    <w:uiPriority w:val="0"/>
    <w:qFormat/>
    <w:pPr>
      <w:ind w:firstLine="425"/>
      <w:spacing w:line="360" w:lineRule="auto"/>
    </w:pPr>
  </w:style>
  <w:style w:type="paragraph" w:styleId="882" w:customStyle="1">
    <w:name w:val="首行缩进"/>
    <w:basedOn w:val="768"/>
    <w:uiPriority w:val="0"/>
    <w:qFormat/>
    <w:pPr>
      <w:ind w:firstLine="200"/>
      <w:jc w:val="left"/>
      <w:spacing w:line="360" w:lineRule="auto"/>
    </w:pPr>
    <w:rPr>
      <w:rFonts w:ascii="宋体"/>
      <w:sz w:val="24"/>
    </w:rPr>
  </w:style>
  <w:style w:type="paragraph" w:styleId="883">
    <w:name w:val="Quote"/>
    <w:basedOn w:val="768"/>
    <w:next w:val="768"/>
    <w:link w:val="884"/>
    <w:uiPriority w:val="29"/>
    <w:qFormat/>
    <w:pPr>
      <w:ind w:left="720" w:right="720"/>
    </w:pPr>
    <w:rPr>
      <w:i/>
    </w:rPr>
  </w:style>
  <w:style w:type="character" w:styleId="884" w:customStyle="1">
    <w:name w:val="Quote Char"/>
    <w:link w:val="883"/>
    <w:uiPriority w:val="29"/>
    <w:qFormat/>
    <w:rPr>
      <w:i/>
    </w:rPr>
  </w:style>
  <w:style w:type="paragraph" w:styleId="885">
    <w:name w:val="Intense Quote"/>
    <w:basedOn w:val="768"/>
    <w:next w:val="768"/>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Intense Quote Char"/>
    <w:link w:val="885"/>
    <w:uiPriority w:val="30"/>
    <w:qFormat/>
    <w:rPr>
      <w:i/>
    </w:rPr>
  </w:style>
  <w:style w:type="table" w:styleId="887" w:customStyle="1">
    <w:name w:val="Table Grid Light"/>
    <w:basedOn w:val="805"/>
    <w:uiPriority w:val="59"/>
    <w:qFormat/>
    <w:pPr>
      <w:spacing w:after="0" w:line="240" w:lineRule="auto"/>
    </w:pPr>
    <w:tblPr/>
  </w:style>
  <w:style w:type="table" w:styleId="888" w:customStyle="1">
    <w:name w:val="Plain Table 1"/>
    <w:basedOn w:val="805"/>
    <w:uiPriority w:val="59"/>
    <w:qFormat/>
    <w:pPr>
      <w:spacing w:after="0" w:line="240" w:lineRule="auto"/>
    </w:pPr>
    <w:tblPr/>
  </w:style>
  <w:style w:type="table" w:styleId="889" w:customStyle="1">
    <w:name w:val="Plain Table 2"/>
    <w:basedOn w:val="805"/>
    <w:uiPriority w:val="59"/>
    <w:qFormat/>
    <w:pPr>
      <w:spacing w:after="0" w:line="240" w:lineRule="auto"/>
    </w:pPr>
    <w:tblPr/>
  </w:style>
  <w:style w:type="table" w:styleId="890" w:customStyle="1">
    <w:name w:val="Plain Table 3"/>
    <w:basedOn w:val="805"/>
    <w:uiPriority w:val="99"/>
    <w:qFormat/>
    <w:pPr>
      <w:spacing w:after="0" w:line="240" w:lineRule="auto"/>
    </w:pPr>
    <w:tblPr/>
  </w:style>
  <w:style w:type="table" w:styleId="891" w:customStyle="1">
    <w:name w:val="Plain Table 4"/>
    <w:basedOn w:val="805"/>
    <w:uiPriority w:val="99"/>
    <w:qFormat/>
    <w:pPr>
      <w:spacing w:after="0" w:line="240" w:lineRule="auto"/>
    </w:pPr>
    <w:tblPr/>
  </w:style>
  <w:style w:type="table" w:styleId="892" w:customStyle="1">
    <w:name w:val="Plain Table 5"/>
    <w:basedOn w:val="805"/>
    <w:uiPriority w:val="99"/>
    <w:qFormat/>
    <w:pPr>
      <w:spacing w:after="0" w:line="240" w:lineRule="auto"/>
    </w:pPr>
    <w:tblPr/>
  </w:style>
  <w:style w:type="table" w:styleId="893" w:customStyle="1">
    <w:name w:val="Grid Table 1 Light"/>
    <w:basedOn w:val="805"/>
    <w:uiPriority w:val="99"/>
    <w:qFormat/>
    <w:pPr>
      <w:spacing w:after="0" w:line="240" w:lineRule="auto"/>
    </w:pPr>
    <w:tblPr/>
  </w:style>
  <w:style w:type="table" w:styleId="894" w:customStyle="1">
    <w:name w:val="Grid Table 1 Light - Accent 1"/>
    <w:basedOn w:val="805"/>
    <w:uiPriority w:val="99"/>
    <w:qFormat/>
    <w:pPr>
      <w:spacing w:after="0" w:line="240" w:lineRule="auto"/>
    </w:pPr>
    <w:tblPr/>
  </w:style>
  <w:style w:type="table" w:styleId="895" w:customStyle="1">
    <w:name w:val="Grid Table 1 Light - Accent 2"/>
    <w:basedOn w:val="805"/>
    <w:uiPriority w:val="99"/>
    <w:qFormat/>
    <w:pPr>
      <w:spacing w:after="0" w:line="240" w:lineRule="auto"/>
    </w:pPr>
    <w:tblPr/>
  </w:style>
  <w:style w:type="table" w:styleId="896" w:customStyle="1">
    <w:name w:val="Grid Table 1 Light - Accent 3"/>
    <w:basedOn w:val="805"/>
    <w:uiPriority w:val="99"/>
    <w:qFormat/>
    <w:pPr>
      <w:spacing w:after="0" w:line="240" w:lineRule="auto"/>
    </w:pPr>
    <w:tblPr/>
  </w:style>
  <w:style w:type="table" w:styleId="897" w:customStyle="1">
    <w:name w:val="Grid Table 1 Light - Accent 4"/>
    <w:basedOn w:val="805"/>
    <w:uiPriority w:val="99"/>
    <w:qFormat/>
    <w:pPr>
      <w:spacing w:after="0" w:line="240" w:lineRule="auto"/>
    </w:pPr>
    <w:tblPr/>
  </w:style>
  <w:style w:type="table" w:styleId="898" w:customStyle="1">
    <w:name w:val="Grid Table 1 Light - Accent 5"/>
    <w:basedOn w:val="805"/>
    <w:uiPriority w:val="99"/>
    <w:qFormat/>
    <w:pPr>
      <w:spacing w:after="0" w:line="240" w:lineRule="auto"/>
    </w:pPr>
    <w:tblPr/>
  </w:style>
  <w:style w:type="table" w:styleId="899" w:customStyle="1">
    <w:name w:val="Grid Table 1 Light - Accent 6"/>
    <w:basedOn w:val="805"/>
    <w:uiPriority w:val="99"/>
    <w:qFormat/>
    <w:pPr>
      <w:spacing w:after="0" w:line="240" w:lineRule="auto"/>
    </w:pPr>
    <w:tblPr/>
  </w:style>
  <w:style w:type="table" w:styleId="900" w:customStyle="1">
    <w:name w:val="Grid Table 2"/>
    <w:basedOn w:val="805"/>
    <w:uiPriority w:val="99"/>
    <w:qFormat/>
    <w:pPr>
      <w:spacing w:after="0" w:line="240" w:lineRule="auto"/>
    </w:pPr>
    <w:tblPr/>
  </w:style>
  <w:style w:type="table" w:styleId="901" w:customStyle="1">
    <w:name w:val="Grid Table 2 - Accent 1"/>
    <w:basedOn w:val="805"/>
    <w:uiPriority w:val="99"/>
    <w:qFormat/>
    <w:pPr>
      <w:spacing w:after="0" w:line="240" w:lineRule="auto"/>
    </w:pPr>
    <w:tblPr/>
  </w:style>
  <w:style w:type="table" w:styleId="902" w:customStyle="1">
    <w:name w:val="Grid Table 2 - Accent 2"/>
    <w:basedOn w:val="805"/>
    <w:uiPriority w:val="99"/>
    <w:qFormat/>
    <w:pPr>
      <w:spacing w:after="0" w:line="240" w:lineRule="auto"/>
    </w:pPr>
    <w:tblPr/>
  </w:style>
  <w:style w:type="table" w:styleId="903" w:customStyle="1">
    <w:name w:val="Grid Table 2 - Accent 3"/>
    <w:basedOn w:val="805"/>
    <w:uiPriority w:val="99"/>
    <w:qFormat/>
    <w:pPr>
      <w:spacing w:after="0" w:line="240" w:lineRule="auto"/>
    </w:pPr>
    <w:tblPr/>
  </w:style>
  <w:style w:type="table" w:styleId="904" w:customStyle="1">
    <w:name w:val="Grid Table 2 - Accent 4"/>
    <w:basedOn w:val="805"/>
    <w:uiPriority w:val="99"/>
    <w:qFormat/>
    <w:pPr>
      <w:spacing w:after="0" w:line="240" w:lineRule="auto"/>
    </w:pPr>
    <w:tblPr/>
  </w:style>
  <w:style w:type="table" w:styleId="905" w:customStyle="1">
    <w:name w:val="Grid Table 2 - Accent 5"/>
    <w:basedOn w:val="805"/>
    <w:uiPriority w:val="99"/>
    <w:qFormat/>
    <w:pPr>
      <w:spacing w:after="0" w:line="240" w:lineRule="auto"/>
    </w:pPr>
    <w:tblPr/>
  </w:style>
  <w:style w:type="table" w:styleId="906" w:customStyle="1">
    <w:name w:val="Grid Table 2 - Accent 6"/>
    <w:basedOn w:val="805"/>
    <w:uiPriority w:val="99"/>
    <w:qFormat/>
    <w:pPr>
      <w:spacing w:after="0" w:line="240" w:lineRule="auto"/>
    </w:pPr>
    <w:tblPr/>
  </w:style>
  <w:style w:type="table" w:styleId="907" w:customStyle="1">
    <w:name w:val="Grid Table 3"/>
    <w:basedOn w:val="805"/>
    <w:uiPriority w:val="99"/>
    <w:qFormat/>
    <w:pPr>
      <w:spacing w:after="0" w:line="240" w:lineRule="auto"/>
    </w:pPr>
    <w:tblPr/>
  </w:style>
  <w:style w:type="table" w:styleId="908" w:customStyle="1">
    <w:name w:val="Grid Table 3 - Accent 1"/>
    <w:basedOn w:val="805"/>
    <w:uiPriority w:val="99"/>
    <w:qFormat/>
    <w:pPr>
      <w:spacing w:after="0" w:line="240" w:lineRule="auto"/>
    </w:pPr>
    <w:tblPr/>
  </w:style>
  <w:style w:type="table" w:styleId="909" w:customStyle="1">
    <w:name w:val="Grid Table 3 - Accent 2"/>
    <w:basedOn w:val="805"/>
    <w:uiPriority w:val="99"/>
    <w:qFormat/>
    <w:pPr>
      <w:spacing w:after="0" w:line="240" w:lineRule="auto"/>
    </w:pPr>
    <w:tblPr/>
  </w:style>
  <w:style w:type="table" w:styleId="910" w:customStyle="1">
    <w:name w:val="Grid Table 3 - Accent 3"/>
    <w:basedOn w:val="805"/>
    <w:uiPriority w:val="99"/>
    <w:qFormat/>
    <w:pPr>
      <w:spacing w:after="0" w:line="240" w:lineRule="auto"/>
    </w:pPr>
    <w:tblPr/>
  </w:style>
  <w:style w:type="table" w:styleId="911" w:customStyle="1">
    <w:name w:val="Grid Table 3 - Accent 4"/>
    <w:basedOn w:val="805"/>
    <w:uiPriority w:val="99"/>
    <w:qFormat/>
    <w:pPr>
      <w:spacing w:after="0" w:line="240" w:lineRule="auto"/>
    </w:pPr>
    <w:tblPr/>
  </w:style>
  <w:style w:type="table" w:styleId="912" w:customStyle="1">
    <w:name w:val="Grid Table 3 - Accent 5"/>
    <w:basedOn w:val="805"/>
    <w:uiPriority w:val="99"/>
    <w:qFormat/>
    <w:pPr>
      <w:spacing w:after="0" w:line="240" w:lineRule="auto"/>
    </w:pPr>
    <w:tblPr/>
  </w:style>
  <w:style w:type="table" w:styleId="913" w:customStyle="1">
    <w:name w:val="Grid Table 3 - Accent 6"/>
    <w:basedOn w:val="805"/>
    <w:uiPriority w:val="99"/>
    <w:qFormat/>
    <w:pPr>
      <w:spacing w:after="0" w:line="240" w:lineRule="auto"/>
    </w:pPr>
    <w:tblPr/>
  </w:style>
  <w:style w:type="table" w:styleId="914" w:customStyle="1">
    <w:name w:val="Grid Table 4"/>
    <w:basedOn w:val="805"/>
    <w:uiPriority w:val="59"/>
    <w:qFormat/>
    <w:pPr>
      <w:spacing w:after="0" w:line="240" w:lineRule="auto"/>
    </w:pPr>
    <w:tblPr/>
  </w:style>
  <w:style w:type="table" w:styleId="915" w:customStyle="1">
    <w:name w:val="Grid Table 4 - Accent 1"/>
    <w:basedOn w:val="805"/>
    <w:uiPriority w:val="59"/>
    <w:qFormat/>
    <w:pPr>
      <w:spacing w:after="0" w:line="240" w:lineRule="auto"/>
    </w:pPr>
    <w:tblPr/>
  </w:style>
  <w:style w:type="table" w:styleId="916" w:customStyle="1">
    <w:name w:val="Grid Table 4 - Accent 2"/>
    <w:basedOn w:val="805"/>
    <w:uiPriority w:val="59"/>
    <w:qFormat/>
    <w:pPr>
      <w:spacing w:after="0" w:line="240" w:lineRule="auto"/>
    </w:pPr>
    <w:tblPr/>
  </w:style>
  <w:style w:type="table" w:styleId="917" w:customStyle="1">
    <w:name w:val="Grid Table 4 - Accent 3"/>
    <w:basedOn w:val="805"/>
    <w:uiPriority w:val="59"/>
    <w:qFormat/>
    <w:pPr>
      <w:spacing w:after="0" w:line="240" w:lineRule="auto"/>
    </w:pPr>
    <w:tblPr/>
  </w:style>
  <w:style w:type="table" w:styleId="918" w:customStyle="1">
    <w:name w:val="Grid Table 4 - Accent 4"/>
    <w:basedOn w:val="805"/>
    <w:uiPriority w:val="59"/>
    <w:qFormat/>
    <w:pPr>
      <w:spacing w:after="0" w:line="240" w:lineRule="auto"/>
    </w:pPr>
    <w:tblPr/>
  </w:style>
  <w:style w:type="table" w:styleId="919" w:customStyle="1">
    <w:name w:val="Grid Table 4 - Accent 5"/>
    <w:basedOn w:val="805"/>
    <w:uiPriority w:val="59"/>
    <w:qFormat/>
    <w:pPr>
      <w:spacing w:after="0" w:line="240" w:lineRule="auto"/>
    </w:pPr>
    <w:tblPr/>
  </w:style>
  <w:style w:type="table" w:styleId="920" w:customStyle="1">
    <w:name w:val="Grid Table 4 - Accent 6"/>
    <w:basedOn w:val="805"/>
    <w:uiPriority w:val="59"/>
    <w:qFormat/>
    <w:pPr>
      <w:spacing w:after="0" w:line="240" w:lineRule="auto"/>
    </w:pPr>
    <w:tblPr/>
  </w:style>
  <w:style w:type="table" w:styleId="921" w:customStyle="1">
    <w:name w:val="Grid Table 5 Dark"/>
    <w:basedOn w:val="805"/>
    <w:uiPriority w:val="99"/>
    <w:qFormat/>
    <w:pPr>
      <w:spacing w:after="0" w:line="240" w:lineRule="auto"/>
    </w:pPr>
    <w:tblPr/>
  </w:style>
  <w:style w:type="table" w:styleId="922" w:customStyle="1">
    <w:name w:val="Grid Table 5 Dark- Accent 1"/>
    <w:basedOn w:val="805"/>
    <w:uiPriority w:val="99"/>
    <w:qFormat/>
    <w:pPr>
      <w:spacing w:after="0" w:line="240" w:lineRule="auto"/>
    </w:pPr>
    <w:tblPr/>
  </w:style>
  <w:style w:type="table" w:styleId="923" w:customStyle="1">
    <w:name w:val="Grid Table 5 Dark - Accent 2"/>
    <w:basedOn w:val="805"/>
    <w:uiPriority w:val="99"/>
    <w:qFormat/>
    <w:pPr>
      <w:spacing w:after="0" w:line="240" w:lineRule="auto"/>
    </w:pPr>
    <w:tblPr/>
  </w:style>
  <w:style w:type="table" w:styleId="924" w:customStyle="1">
    <w:name w:val="Grid Table 5 Dark - Accent 3"/>
    <w:basedOn w:val="805"/>
    <w:uiPriority w:val="99"/>
    <w:qFormat/>
    <w:pPr>
      <w:spacing w:after="0" w:line="240" w:lineRule="auto"/>
    </w:pPr>
    <w:tblPr/>
  </w:style>
  <w:style w:type="table" w:styleId="925" w:customStyle="1">
    <w:name w:val="Grid Table 5 Dark- Accent 4"/>
    <w:basedOn w:val="805"/>
    <w:uiPriority w:val="99"/>
    <w:qFormat/>
    <w:pPr>
      <w:spacing w:after="0" w:line="240" w:lineRule="auto"/>
    </w:pPr>
    <w:tblPr/>
  </w:style>
  <w:style w:type="table" w:styleId="926" w:customStyle="1">
    <w:name w:val="Grid Table 5 Dark - Accent 5"/>
    <w:basedOn w:val="805"/>
    <w:uiPriority w:val="99"/>
    <w:qFormat/>
    <w:pPr>
      <w:spacing w:after="0" w:line="240" w:lineRule="auto"/>
    </w:pPr>
    <w:tblPr/>
  </w:style>
  <w:style w:type="table" w:styleId="927" w:customStyle="1">
    <w:name w:val="Grid Table 5 Dark - Accent 6"/>
    <w:basedOn w:val="805"/>
    <w:uiPriority w:val="99"/>
    <w:qFormat/>
    <w:pPr>
      <w:spacing w:after="0" w:line="240" w:lineRule="auto"/>
    </w:pPr>
    <w:tblPr/>
  </w:style>
  <w:style w:type="table" w:styleId="928" w:customStyle="1">
    <w:name w:val="Grid Table 6 Colorful"/>
    <w:basedOn w:val="805"/>
    <w:uiPriority w:val="99"/>
    <w:qFormat/>
    <w:pPr>
      <w:spacing w:after="0" w:line="240" w:lineRule="auto"/>
    </w:pPr>
    <w:tblPr/>
  </w:style>
  <w:style w:type="table" w:styleId="929" w:customStyle="1">
    <w:name w:val="Grid Table 6 Colorful - Accent 1"/>
    <w:basedOn w:val="805"/>
    <w:uiPriority w:val="99"/>
    <w:qFormat/>
    <w:pPr>
      <w:spacing w:after="0" w:line="240" w:lineRule="auto"/>
    </w:pPr>
    <w:tblPr/>
  </w:style>
  <w:style w:type="table" w:styleId="930" w:customStyle="1">
    <w:name w:val="Grid Table 6 Colorful - Accent 2"/>
    <w:basedOn w:val="805"/>
    <w:uiPriority w:val="99"/>
    <w:qFormat/>
    <w:pPr>
      <w:spacing w:after="0" w:line="240" w:lineRule="auto"/>
    </w:pPr>
    <w:tblPr/>
  </w:style>
  <w:style w:type="table" w:styleId="931" w:customStyle="1">
    <w:name w:val="Grid Table 6 Colorful - Accent 3"/>
    <w:basedOn w:val="805"/>
    <w:uiPriority w:val="99"/>
    <w:qFormat/>
    <w:pPr>
      <w:spacing w:after="0" w:line="240" w:lineRule="auto"/>
    </w:pPr>
    <w:tblPr/>
  </w:style>
  <w:style w:type="table" w:styleId="932" w:customStyle="1">
    <w:name w:val="Grid Table 6 Colorful - Accent 4"/>
    <w:basedOn w:val="805"/>
    <w:uiPriority w:val="99"/>
    <w:qFormat/>
    <w:pPr>
      <w:spacing w:after="0" w:line="240" w:lineRule="auto"/>
    </w:pPr>
    <w:tblPr/>
  </w:style>
  <w:style w:type="table" w:styleId="933" w:customStyle="1">
    <w:name w:val="Grid Table 6 Colorful - Accent 5"/>
    <w:basedOn w:val="805"/>
    <w:uiPriority w:val="99"/>
    <w:qFormat/>
    <w:pPr>
      <w:spacing w:after="0" w:line="240" w:lineRule="auto"/>
    </w:pPr>
    <w:tblPr/>
  </w:style>
  <w:style w:type="table" w:styleId="934" w:customStyle="1">
    <w:name w:val="Grid Table 6 Colorful - Accent 6"/>
    <w:basedOn w:val="805"/>
    <w:uiPriority w:val="99"/>
    <w:qFormat/>
    <w:pPr>
      <w:spacing w:after="0" w:line="240" w:lineRule="auto"/>
    </w:pPr>
    <w:tblPr/>
  </w:style>
  <w:style w:type="table" w:styleId="935" w:customStyle="1">
    <w:name w:val="Grid Table 7 Colorful"/>
    <w:basedOn w:val="805"/>
    <w:uiPriority w:val="99"/>
    <w:qFormat/>
    <w:pPr>
      <w:spacing w:after="0" w:line="240" w:lineRule="auto"/>
    </w:pPr>
    <w:tblPr/>
  </w:style>
  <w:style w:type="table" w:styleId="936" w:customStyle="1">
    <w:name w:val="Grid Table 7 Colorful - Accent 1"/>
    <w:basedOn w:val="805"/>
    <w:uiPriority w:val="99"/>
    <w:qFormat/>
    <w:pPr>
      <w:spacing w:after="0" w:line="240" w:lineRule="auto"/>
    </w:pPr>
    <w:tblPr/>
  </w:style>
  <w:style w:type="table" w:styleId="937" w:customStyle="1">
    <w:name w:val="Grid Table 7 Colorful - Accent 2"/>
    <w:basedOn w:val="805"/>
    <w:uiPriority w:val="99"/>
    <w:qFormat/>
    <w:pPr>
      <w:spacing w:after="0" w:line="240" w:lineRule="auto"/>
    </w:pPr>
    <w:tblPr/>
  </w:style>
  <w:style w:type="table" w:styleId="938" w:customStyle="1">
    <w:name w:val="Grid Table 7 Colorful - Accent 3"/>
    <w:basedOn w:val="805"/>
    <w:uiPriority w:val="99"/>
    <w:qFormat/>
    <w:pPr>
      <w:spacing w:after="0" w:line="240" w:lineRule="auto"/>
    </w:pPr>
    <w:tblPr/>
  </w:style>
  <w:style w:type="table" w:styleId="939" w:customStyle="1">
    <w:name w:val="Grid Table 7 Colorful - Accent 4"/>
    <w:basedOn w:val="805"/>
    <w:uiPriority w:val="99"/>
    <w:qFormat/>
    <w:pPr>
      <w:spacing w:after="0" w:line="240" w:lineRule="auto"/>
    </w:pPr>
    <w:tblPr/>
  </w:style>
  <w:style w:type="table" w:styleId="940" w:customStyle="1">
    <w:name w:val="Grid Table 7 Colorful - Accent 5"/>
    <w:basedOn w:val="805"/>
    <w:uiPriority w:val="99"/>
    <w:qFormat/>
    <w:pPr>
      <w:spacing w:after="0" w:line="240" w:lineRule="auto"/>
    </w:pPr>
    <w:tblPr/>
  </w:style>
  <w:style w:type="table" w:styleId="941" w:customStyle="1">
    <w:name w:val="Grid Table 7 Colorful - Accent 6"/>
    <w:basedOn w:val="805"/>
    <w:uiPriority w:val="99"/>
    <w:qFormat/>
    <w:pPr>
      <w:spacing w:after="0" w:line="240" w:lineRule="auto"/>
    </w:pPr>
    <w:tblPr/>
  </w:style>
  <w:style w:type="table" w:styleId="942" w:customStyle="1">
    <w:name w:val="List Table 1 Light"/>
    <w:basedOn w:val="805"/>
    <w:uiPriority w:val="99"/>
    <w:qFormat/>
    <w:pPr>
      <w:spacing w:after="0" w:line="240" w:lineRule="auto"/>
    </w:pPr>
    <w:tblPr/>
  </w:style>
  <w:style w:type="table" w:styleId="943" w:customStyle="1">
    <w:name w:val="List Table 1 Light - Accent 1"/>
    <w:basedOn w:val="805"/>
    <w:uiPriority w:val="99"/>
    <w:qFormat/>
    <w:pPr>
      <w:spacing w:after="0" w:line="240" w:lineRule="auto"/>
    </w:pPr>
    <w:tblPr/>
  </w:style>
  <w:style w:type="table" w:styleId="944" w:customStyle="1">
    <w:name w:val="List Table 1 Light - Accent 2"/>
    <w:basedOn w:val="805"/>
    <w:uiPriority w:val="99"/>
    <w:qFormat/>
    <w:pPr>
      <w:spacing w:after="0" w:line="240" w:lineRule="auto"/>
    </w:pPr>
    <w:tblPr/>
  </w:style>
  <w:style w:type="table" w:styleId="945" w:customStyle="1">
    <w:name w:val="List Table 1 Light - Accent 3"/>
    <w:basedOn w:val="805"/>
    <w:uiPriority w:val="99"/>
    <w:qFormat/>
    <w:pPr>
      <w:spacing w:after="0" w:line="240" w:lineRule="auto"/>
    </w:pPr>
    <w:tblPr/>
  </w:style>
  <w:style w:type="table" w:styleId="946" w:customStyle="1">
    <w:name w:val="List Table 1 Light - Accent 4"/>
    <w:basedOn w:val="805"/>
    <w:uiPriority w:val="99"/>
    <w:qFormat/>
    <w:pPr>
      <w:spacing w:after="0" w:line="240" w:lineRule="auto"/>
    </w:pPr>
    <w:tblPr/>
  </w:style>
  <w:style w:type="table" w:styleId="947" w:customStyle="1">
    <w:name w:val="List Table 1 Light - Accent 5"/>
    <w:basedOn w:val="805"/>
    <w:uiPriority w:val="99"/>
    <w:qFormat/>
    <w:pPr>
      <w:spacing w:after="0" w:line="240" w:lineRule="auto"/>
    </w:pPr>
    <w:tblPr/>
  </w:style>
  <w:style w:type="table" w:styleId="948" w:customStyle="1">
    <w:name w:val="List Table 1 Light - Accent 6"/>
    <w:basedOn w:val="805"/>
    <w:uiPriority w:val="99"/>
    <w:qFormat/>
    <w:pPr>
      <w:spacing w:after="0" w:line="240" w:lineRule="auto"/>
    </w:pPr>
    <w:tblPr/>
  </w:style>
  <w:style w:type="table" w:styleId="949" w:customStyle="1">
    <w:name w:val="List Table 2"/>
    <w:basedOn w:val="805"/>
    <w:uiPriority w:val="99"/>
    <w:qFormat/>
    <w:pPr>
      <w:spacing w:after="0" w:line="240" w:lineRule="auto"/>
    </w:pPr>
    <w:tblPr/>
  </w:style>
  <w:style w:type="table" w:styleId="950" w:customStyle="1">
    <w:name w:val="List Table 2 - Accent 1"/>
    <w:basedOn w:val="805"/>
    <w:uiPriority w:val="99"/>
    <w:qFormat/>
    <w:pPr>
      <w:spacing w:after="0" w:line="240" w:lineRule="auto"/>
    </w:pPr>
    <w:tblPr/>
  </w:style>
  <w:style w:type="table" w:styleId="951" w:customStyle="1">
    <w:name w:val="List Table 2 - Accent 2"/>
    <w:basedOn w:val="805"/>
    <w:uiPriority w:val="99"/>
    <w:qFormat/>
    <w:pPr>
      <w:spacing w:after="0" w:line="240" w:lineRule="auto"/>
    </w:pPr>
    <w:tblPr/>
  </w:style>
  <w:style w:type="table" w:styleId="952" w:customStyle="1">
    <w:name w:val="List Table 2 - Accent 3"/>
    <w:basedOn w:val="805"/>
    <w:uiPriority w:val="99"/>
    <w:qFormat/>
    <w:pPr>
      <w:spacing w:after="0" w:line="240" w:lineRule="auto"/>
    </w:pPr>
    <w:tblPr/>
  </w:style>
  <w:style w:type="table" w:styleId="953" w:customStyle="1">
    <w:name w:val="List Table 2 - Accent 4"/>
    <w:basedOn w:val="805"/>
    <w:uiPriority w:val="99"/>
    <w:qFormat/>
    <w:pPr>
      <w:spacing w:after="0" w:line="240" w:lineRule="auto"/>
    </w:pPr>
    <w:tblPr/>
  </w:style>
  <w:style w:type="table" w:styleId="954" w:customStyle="1">
    <w:name w:val="List Table 2 - Accent 5"/>
    <w:basedOn w:val="805"/>
    <w:uiPriority w:val="99"/>
    <w:qFormat/>
    <w:pPr>
      <w:spacing w:after="0" w:line="240" w:lineRule="auto"/>
    </w:pPr>
    <w:tblPr/>
  </w:style>
  <w:style w:type="table" w:styleId="955" w:customStyle="1">
    <w:name w:val="List Table 2 - Accent 6"/>
    <w:basedOn w:val="805"/>
    <w:uiPriority w:val="99"/>
    <w:qFormat/>
    <w:pPr>
      <w:spacing w:after="0" w:line="240" w:lineRule="auto"/>
    </w:pPr>
    <w:tblPr/>
  </w:style>
  <w:style w:type="table" w:styleId="956" w:customStyle="1">
    <w:name w:val="List Table 3"/>
    <w:basedOn w:val="805"/>
    <w:uiPriority w:val="99"/>
    <w:qFormat/>
    <w:pPr>
      <w:spacing w:after="0" w:line="240" w:lineRule="auto"/>
    </w:pPr>
    <w:tblPr/>
  </w:style>
  <w:style w:type="table" w:styleId="957" w:customStyle="1">
    <w:name w:val="List Table 3 - Accent 1"/>
    <w:basedOn w:val="805"/>
    <w:uiPriority w:val="99"/>
    <w:qFormat/>
    <w:pPr>
      <w:spacing w:after="0" w:line="240" w:lineRule="auto"/>
    </w:pPr>
    <w:tblPr/>
  </w:style>
  <w:style w:type="table" w:styleId="958" w:customStyle="1">
    <w:name w:val="List Table 3 - Accent 2"/>
    <w:basedOn w:val="805"/>
    <w:uiPriority w:val="99"/>
    <w:qFormat/>
    <w:pPr>
      <w:spacing w:after="0" w:line="240" w:lineRule="auto"/>
    </w:pPr>
    <w:tblPr/>
  </w:style>
  <w:style w:type="table" w:styleId="959" w:customStyle="1">
    <w:name w:val="List Table 3 - Accent 3"/>
    <w:basedOn w:val="805"/>
    <w:uiPriority w:val="99"/>
    <w:qFormat/>
    <w:pPr>
      <w:spacing w:after="0" w:line="240" w:lineRule="auto"/>
    </w:pPr>
    <w:tblPr/>
  </w:style>
  <w:style w:type="table" w:styleId="960" w:customStyle="1">
    <w:name w:val="List Table 3 - Accent 4"/>
    <w:basedOn w:val="805"/>
    <w:uiPriority w:val="99"/>
    <w:qFormat/>
    <w:pPr>
      <w:spacing w:after="0" w:line="240" w:lineRule="auto"/>
    </w:pPr>
    <w:tblPr/>
  </w:style>
  <w:style w:type="table" w:styleId="961" w:customStyle="1">
    <w:name w:val="List Table 3 - Accent 5"/>
    <w:basedOn w:val="805"/>
    <w:uiPriority w:val="99"/>
    <w:qFormat/>
    <w:pPr>
      <w:spacing w:after="0" w:line="240" w:lineRule="auto"/>
    </w:pPr>
    <w:tblPr/>
  </w:style>
  <w:style w:type="table" w:styleId="962" w:customStyle="1">
    <w:name w:val="List Table 3 - Accent 6"/>
    <w:basedOn w:val="805"/>
    <w:uiPriority w:val="99"/>
    <w:qFormat/>
    <w:pPr>
      <w:spacing w:after="0" w:line="240" w:lineRule="auto"/>
    </w:pPr>
    <w:tblPr/>
  </w:style>
  <w:style w:type="table" w:styleId="963" w:customStyle="1">
    <w:name w:val="List Table 4"/>
    <w:basedOn w:val="805"/>
    <w:uiPriority w:val="99"/>
    <w:qFormat/>
    <w:pPr>
      <w:spacing w:after="0" w:line="240" w:lineRule="auto"/>
    </w:pPr>
    <w:tblPr/>
  </w:style>
  <w:style w:type="table" w:styleId="964" w:customStyle="1">
    <w:name w:val="List Table 4 - Accent 1"/>
    <w:basedOn w:val="805"/>
    <w:uiPriority w:val="99"/>
    <w:qFormat/>
    <w:pPr>
      <w:spacing w:after="0" w:line="240" w:lineRule="auto"/>
    </w:pPr>
    <w:tblPr/>
  </w:style>
  <w:style w:type="table" w:styleId="965" w:customStyle="1">
    <w:name w:val="List Table 4 - Accent 2"/>
    <w:basedOn w:val="805"/>
    <w:uiPriority w:val="99"/>
    <w:qFormat/>
    <w:pPr>
      <w:spacing w:after="0" w:line="240" w:lineRule="auto"/>
    </w:pPr>
    <w:tblPr/>
  </w:style>
  <w:style w:type="table" w:styleId="966" w:customStyle="1">
    <w:name w:val="List Table 4 - Accent 3"/>
    <w:basedOn w:val="805"/>
    <w:uiPriority w:val="99"/>
    <w:qFormat/>
    <w:pPr>
      <w:spacing w:after="0" w:line="240" w:lineRule="auto"/>
    </w:pPr>
    <w:tblPr/>
  </w:style>
  <w:style w:type="table" w:styleId="967" w:customStyle="1">
    <w:name w:val="List Table 4 - Accent 4"/>
    <w:basedOn w:val="805"/>
    <w:uiPriority w:val="99"/>
    <w:qFormat/>
    <w:pPr>
      <w:spacing w:after="0" w:line="240" w:lineRule="auto"/>
    </w:pPr>
    <w:tblPr/>
  </w:style>
  <w:style w:type="table" w:styleId="968" w:customStyle="1">
    <w:name w:val="List Table 4 - Accent 5"/>
    <w:basedOn w:val="805"/>
    <w:uiPriority w:val="99"/>
    <w:qFormat/>
    <w:pPr>
      <w:spacing w:after="0" w:line="240" w:lineRule="auto"/>
    </w:pPr>
    <w:tblPr/>
  </w:style>
  <w:style w:type="table" w:styleId="969" w:customStyle="1">
    <w:name w:val="List Table 4 - Accent 6"/>
    <w:basedOn w:val="805"/>
    <w:uiPriority w:val="99"/>
    <w:qFormat/>
    <w:pPr>
      <w:spacing w:after="0" w:line="240" w:lineRule="auto"/>
    </w:pPr>
    <w:tblPr/>
  </w:style>
  <w:style w:type="table" w:styleId="970" w:customStyle="1">
    <w:name w:val="List Table 5 Dark"/>
    <w:basedOn w:val="805"/>
    <w:uiPriority w:val="99"/>
    <w:qFormat/>
    <w:pPr>
      <w:spacing w:after="0" w:line="240" w:lineRule="auto"/>
    </w:pPr>
    <w:tblPr/>
  </w:style>
  <w:style w:type="table" w:styleId="971" w:customStyle="1">
    <w:name w:val="List Table 5 Dark - Accent 1"/>
    <w:basedOn w:val="805"/>
    <w:uiPriority w:val="99"/>
    <w:qFormat/>
    <w:pPr>
      <w:spacing w:after="0" w:line="240" w:lineRule="auto"/>
    </w:pPr>
    <w:tblPr/>
  </w:style>
  <w:style w:type="table" w:styleId="972" w:customStyle="1">
    <w:name w:val="List Table 5 Dark - Accent 2"/>
    <w:basedOn w:val="805"/>
    <w:uiPriority w:val="99"/>
    <w:qFormat/>
    <w:pPr>
      <w:spacing w:after="0" w:line="240" w:lineRule="auto"/>
    </w:pPr>
    <w:tblPr/>
  </w:style>
  <w:style w:type="table" w:styleId="973" w:customStyle="1">
    <w:name w:val="List Table 5 Dark - Accent 3"/>
    <w:basedOn w:val="805"/>
    <w:uiPriority w:val="99"/>
    <w:qFormat/>
    <w:pPr>
      <w:spacing w:after="0" w:line="240" w:lineRule="auto"/>
    </w:pPr>
    <w:tblPr/>
  </w:style>
  <w:style w:type="table" w:styleId="974" w:customStyle="1">
    <w:name w:val="List Table 5 Dark - Accent 4"/>
    <w:basedOn w:val="805"/>
    <w:uiPriority w:val="99"/>
    <w:qFormat/>
    <w:pPr>
      <w:spacing w:after="0" w:line="240" w:lineRule="auto"/>
    </w:pPr>
    <w:tblPr/>
  </w:style>
  <w:style w:type="table" w:styleId="975" w:customStyle="1">
    <w:name w:val="List Table 5 Dark - Accent 5"/>
    <w:basedOn w:val="805"/>
    <w:uiPriority w:val="99"/>
    <w:qFormat/>
    <w:pPr>
      <w:spacing w:after="0" w:line="240" w:lineRule="auto"/>
    </w:pPr>
    <w:tblPr/>
  </w:style>
  <w:style w:type="table" w:styleId="976" w:customStyle="1">
    <w:name w:val="List Table 5 Dark - Accent 6"/>
    <w:basedOn w:val="805"/>
    <w:uiPriority w:val="99"/>
    <w:qFormat/>
    <w:pPr>
      <w:spacing w:after="0" w:line="240" w:lineRule="auto"/>
    </w:pPr>
    <w:tblPr/>
  </w:style>
  <w:style w:type="table" w:styleId="977" w:customStyle="1">
    <w:name w:val="List Table 6 Colorful"/>
    <w:basedOn w:val="805"/>
    <w:uiPriority w:val="99"/>
    <w:qFormat/>
    <w:pPr>
      <w:spacing w:after="0" w:line="240" w:lineRule="auto"/>
    </w:pPr>
    <w:tblPr/>
  </w:style>
  <w:style w:type="table" w:styleId="978" w:customStyle="1">
    <w:name w:val="List Table 6 Colorful - Accent 1"/>
    <w:basedOn w:val="805"/>
    <w:uiPriority w:val="99"/>
    <w:qFormat/>
    <w:pPr>
      <w:spacing w:after="0" w:line="240" w:lineRule="auto"/>
    </w:pPr>
    <w:tblPr/>
  </w:style>
  <w:style w:type="table" w:styleId="979" w:customStyle="1">
    <w:name w:val="List Table 6 Colorful - Accent 2"/>
    <w:basedOn w:val="805"/>
    <w:uiPriority w:val="99"/>
    <w:qFormat/>
    <w:pPr>
      <w:spacing w:after="0" w:line="240" w:lineRule="auto"/>
    </w:pPr>
    <w:tblPr/>
  </w:style>
  <w:style w:type="table" w:styleId="980" w:customStyle="1">
    <w:name w:val="List Table 6 Colorful - Accent 3"/>
    <w:basedOn w:val="805"/>
    <w:uiPriority w:val="99"/>
    <w:qFormat/>
    <w:pPr>
      <w:spacing w:after="0" w:line="240" w:lineRule="auto"/>
    </w:pPr>
    <w:tblPr/>
  </w:style>
  <w:style w:type="table" w:styleId="981" w:customStyle="1">
    <w:name w:val="List Table 6 Colorful - Accent 4"/>
    <w:basedOn w:val="805"/>
    <w:uiPriority w:val="99"/>
    <w:qFormat/>
    <w:pPr>
      <w:spacing w:after="0" w:line="240" w:lineRule="auto"/>
    </w:pPr>
    <w:tblPr/>
  </w:style>
  <w:style w:type="table" w:styleId="982" w:customStyle="1">
    <w:name w:val="List Table 6 Colorful - Accent 5"/>
    <w:basedOn w:val="805"/>
    <w:uiPriority w:val="99"/>
    <w:qFormat/>
    <w:pPr>
      <w:spacing w:after="0" w:line="240" w:lineRule="auto"/>
    </w:pPr>
    <w:tblPr/>
  </w:style>
  <w:style w:type="table" w:styleId="983" w:customStyle="1">
    <w:name w:val="List Table 6 Colorful - Accent 6"/>
    <w:basedOn w:val="805"/>
    <w:uiPriority w:val="99"/>
    <w:qFormat/>
    <w:pPr>
      <w:spacing w:after="0" w:line="240" w:lineRule="auto"/>
    </w:pPr>
    <w:tblPr/>
  </w:style>
  <w:style w:type="table" w:styleId="984" w:customStyle="1">
    <w:name w:val="List Table 7 Colorful"/>
    <w:basedOn w:val="805"/>
    <w:uiPriority w:val="99"/>
    <w:qFormat/>
    <w:pPr>
      <w:spacing w:after="0" w:line="240" w:lineRule="auto"/>
    </w:pPr>
    <w:tblPr/>
  </w:style>
  <w:style w:type="table" w:styleId="985" w:customStyle="1">
    <w:name w:val="List Table 7 Colorful - Accent 1"/>
    <w:basedOn w:val="805"/>
    <w:uiPriority w:val="99"/>
    <w:qFormat/>
    <w:pPr>
      <w:spacing w:after="0" w:line="240" w:lineRule="auto"/>
    </w:pPr>
    <w:tblPr/>
  </w:style>
  <w:style w:type="table" w:styleId="986" w:customStyle="1">
    <w:name w:val="List Table 7 Colorful - Accent 2"/>
    <w:basedOn w:val="805"/>
    <w:uiPriority w:val="99"/>
    <w:qFormat/>
    <w:pPr>
      <w:spacing w:after="0" w:line="240" w:lineRule="auto"/>
    </w:pPr>
    <w:tblPr/>
  </w:style>
  <w:style w:type="table" w:styleId="987" w:customStyle="1">
    <w:name w:val="List Table 7 Colorful - Accent 3"/>
    <w:basedOn w:val="805"/>
    <w:uiPriority w:val="99"/>
    <w:qFormat/>
    <w:pPr>
      <w:spacing w:after="0" w:line="240" w:lineRule="auto"/>
    </w:pPr>
    <w:tblPr/>
  </w:style>
  <w:style w:type="table" w:styleId="988" w:customStyle="1">
    <w:name w:val="List Table 7 Colorful - Accent 4"/>
    <w:basedOn w:val="805"/>
    <w:uiPriority w:val="99"/>
    <w:qFormat/>
    <w:pPr>
      <w:spacing w:after="0" w:line="240" w:lineRule="auto"/>
    </w:pPr>
    <w:tblPr/>
  </w:style>
  <w:style w:type="table" w:styleId="989" w:customStyle="1">
    <w:name w:val="List Table 7 Colorful - Accent 5"/>
    <w:basedOn w:val="805"/>
    <w:uiPriority w:val="99"/>
    <w:qFormat/>
    <w:pPr>
      <w:spacing w:after="0" w:line="240" w:lineRule="auto"/>
    </w:pPr>
    <w:tblPr/>
  </w:style>
  <w:style w:type="table" w:styleId="990" w:customStyle="1">
    <w:name w:val="List Table 7 Colorful - Accent 6"/>
    <w:basedOn w:val="805"/>
    <w:uiPriority w:val="99"/>
    <w:qFormat/>
    <w:pPr>
      <w:spacing w:after="0" w:line="240" w:lineRule="auto"/>
    </w:pPr>
    <w:tblPr/>
  </w:style>
  <w:style w:type="table" w:styleId="991" w:customStyle="1">
    <w:name w:val="Lined - Accent"/>
    <w:basedOn w:val="805"/>
    <w:uiPriority w:val="99"/>
    <w:qFormat/>
    <w:pPr>
      <w:spacing w:after="0" w:line="240" w:lineRule="auto"/>
    </w:pPr>
    <w:rPr>
      <w:color w:val="404040"/>
    </w:rPr>
    <w:tblPr/>
  </w:style>
  <w:style w:type="table" w:styleId="992" w:customStyle="1">
    <w:name w:val="Lined - Accent 1"/>
    <w:basedOn w:val="805"/>
    <w:uiPriority w:val="99"/>
    <w:qFormat/>
    <w:pPr>
      <w:spacing w:after="0" w:line="240" w:lineRule="auto"/>
    </w:pPr>
    <w:rPr>
      <w:color w:val="404040"/>
    </w:rPr>
    <w:tblPr/>
  </w:style>
  <w:style w:type="table" w:styleId="993" w:customStyle="1">
    <w:name w:val="Lined - Accent 2"/>
    <w:basedOn w:val="805"/>
    <w:uiPriority w:val="99"/>
    <w:qFormat/>
    <w:pPr>
      <w:spacing w:after="0" w:line="240" w:lineRule="auto"/>
    </w:pPr>
    <w:rPr>
      <w:color w:val="404040"/>
    </w:rPr>
    <w:tblPr/>
  </w:style>
  <w:style w:type="table" w:styleId="994" w:customStyle="1">
    <w:name w:val="Lined - Accent 3"/>
    <w:basedOn w:val="805"/>
    <w:uiPriority w:val="99"/>
    <w:qFormat/>
    <w:pPr>
      <w:spacing w:after="0" w:line="240" w:lineRule="auto"/>
    </w:pPr>
    <w:rPr>
      <w:color w:val="404040"/>
    </w:rPr>
    <w:tblPr/>
  </w:style>
  <w:style w:type="table" w:styleId="995" w:customStyle="1">
    <w:name w:val="Lined - Accent 4"/>
    <w:basedOn w:val="805"/>
    <w:uiPriority w:val="99"/>
    <w:qFormat/>
    <w:pPr>
      <w:spacing w:after="0" w:line="240" w:lineRule="auto"/>
    </w:pPr>
    <w:rPr>
      <w:color w:val="404040"/>
    </w:rPr>
    <w:tblPr/>
  </w:style>
  <w:style w:type="table" w:styleId="996" w:customStyle="1">
    <w:name w:val="Lined - Accent 5"/>
    <w:basedOn w:val="805"/>
    <w:uiPriority w:val="99"/>
    <w:qFormat/>
    <w:pPr>
      <w:spacing w:after="0" w:line="240" w:lineRule="auto"/>
    </w:pPr>
    <w:rPr>
      <w:color w:val="404040"/>
    </w:rPr>
    <w:tblPr/>
  </w:style>
  <w:style w:type="table" w:styleId="997" w:customStyle="1">
    <w:name w:val="Lined - Accent 6"/>
    <w:basedOn w:val="805"/>
    <w:uiPriority w:val="99"/>
    <w:qFormat/>
    <w:pPr>
      <w:spacing w:after="0" w:line="240" w:lineRule="auto"/>
    </w:pPr>
    <w:rPr>
      <w:color w:val="404040"/>
    </w:rPr>
    <w:tblPr/>
  </w:style>
  <w:style w:type="table" w:styleId="998" w:customStyle="1">
    <w:name w:val="Bordered &amp; Lined - Accent"/>
    <w:basedOn w:val="805"/>
    <w:uiPriority w:val="99"/>
    <w:qFormat/>
    <w:pPr>
      <w:spacing w:after="0" w:line="240" w:lineRule="auto"/>
    </w:pPr>
    <w:rPr>
      <w:color w:val="404040"/>
    </w:rPr>
    <w:tblPr/>
  </w:style>
  <w:style w:type="table" w:styleId="999" w:customStyle="1">
    <w:name w:val="Bordered &amp; Lined - Accent 1"/>
    <w:basedOn w:val="805"/>
    <w:uiPriority w:val="99"/>
    <w:qFormat/>
    <w:pPr>
      <w:spacing w:after="0" w:line="240" w:lineRule="auto"/>
    </w:pPr>
    <w:rPr>
      <w:color w:val="404040"/>
    </w:rPr>
    <w:tblPr/>
  </w:style>
  <w:style w:type="table" w:styleId="1000" w:customStyle="1">
    <w:name w:val="Bordered &amp; Lined - Accent 2"/>
    <w:basedOn w:val="805"/>
    <w:uiPriority w:val="99"/>
    <w:qFormat/>
    <w:pPr>
      <w:spacing w:after="0" w:line="240" w:lineRule="auto"/>
    </w:pPr>
    <w:rPr>
      <w:color w:val="404040"/>
    </w:rPr>
    <w:tblPr/>
  </w:style>
  <w:style w:type="table" w:styleId="1001" w:customStyle="1">
    <w:name w:val="Bordered &amp; Lined - Accent 3"/>
    <w:basedOn w:val="805"/>
    <w:uiPriority w:val="99"/>
    <w:qFormat/>
    <w:pPr>
      <w:spacing w:after="0" w:line="240" w:lineRule="auto"/>
    </w:pPr>
    <w:rPr>
      <w:color w:val="404040"/>
    </w:rPr>
    <w:tblPr/>
  </w:style>
  <w:style w:type="table" w:styleId="1002" w:customStyle="1">
    <w:name w:val="Bordered &amp; Lined - Accent 4"/>
    <w:basedOn w:val="805"/>
    <w:uiPriority w:val="99"/>
    <w:qFormat/>
    <w:pPr>
      <w:spacing w:after="0" w:line="240" w:lineRule="auto"/>
    </w:pPr>
    <w:rPr>
      <w:color w:val="404040"/>
    </w:rPr>
    <w:tblPr/>
  </w:style>
  <w:style w:type="table" w:styleId="1003" w:customStyle="1">
    <w:name w:val="Bordered &amp; Lined - Accent 5"/>
    <w:basedOn w:val="805"/>
    <w:uiPriority w:val="99"/>
    <w:qFormat/>
    <w:pPr>
      <w:spacing w:after="0" w:line="240" w:lineRule="auto"/>
    </w:pPr>
    <w:rPr>
      <w:color w:val="404040"/>
    </w:rPr>
    <w:tblPr/>
  </w:style>
  <w:style w:type="table" w:styleId="1004" w:customStyle="1">
    <w:name w:val="Bordered &amp; Lined - Accent 6"/>
    <w:basedOn w:val="805"/>
    <w:uiPriority w:val="99"/>
    <w:qFormat/>
    <w:pPr>
      <w:spacing w:after="0" w:line="240" w:lineRule="auto"/>
    </w:pPr>
    <w:rPr>
      <w:color w:val="404040"/>
    </w:rPr>
    <w:tblPr/>
  </w:style>
  <w:style w:type="table" w:styleId="1005" w:customStyle="1">
    <w:name w:val="Bordered"/>
    <w:basedOn w:val="805"/>
    <w:uiPriority w:val="99"/>
    <w:qFormat/>
    <w:pPr>
      <w:spacing w:after="0" w:line="240" w:lineRule="auto"/>
    </w:pPr>
    <w:tblPr/>
  </w:style>
  <w:style w:type="table" w:styleId="1006" w:customStyle="1">
    <w:name w:val="Bordered - Accent 1"/>
    <w:basedOn w:val="805"/>
    <w:uiPriority w:val="99"/>
    <w:qFormat/>
    <w:pPr>
      <w:spacing w:after="0" w:line="240" w:lineRule="auto"/>
    </w:pPr>
    <w:tblPr/>
  </w:style>
  <w:style w:type="table" w:styleId="1007" w:customStyle="1">
    <w:name w:val="Bordered - Accent 2"/>
    <w:basedOn w:val="805"/>
    <w:uiPriority w:val="99"/>
    <w:qFormat/>
    <w:pPr>
      <w:spacing w:after="0" w:line="240" w:lineRule="auto"/>
    </w:pPr>
    <w:tblPr/>
  </w:style>
  <w:style w:type="table" w:styleId="1008" w:customStyle="1">
    <w:name w:val="Bordered - Accent 3"/>
    <w:basedOn w:val="805"/>
    <w:uiPriority w:val="99"/>
    <w:qFormat/>
    <w:pPr>
      <w:spacing w:after="0" w:line="240" w:lineRule="auto"/>
    </w:pPr>
    <w:tblPr/>
  </w:style>
  <w:style w:type="table" w:styleId="1009" w:customStyle="1">
    <w:name w:val="Bordered - Accent 4"/>
    <w:basedOn w:val="805"/>
    <w:uiPriority w:val="99"/>
    <w:qFormat/>
    <w:pPr>
      <w:spacing w:after="0" w:line="240" w:lineRule="auto"/>
    </w:pPr>
    <w:tblPr/>
  </w:style>
  <w:style w:type="table" w:styleId="1010" w:customStyle="1">
    <w:name w:val="Bordered - Accent 5"/>
    <w:basedOn w:val="805"/>
    <w:uiPriority w:val="99"/>
    <w:qFormat/>
    <w:pPr>
      <w:spacing w:after="0" w:line="240" w:lineRule="auto"/>
    </w:pPr>
    <w:tblPr/>
  </w:style>
  <w:style w:type="table" w:styleId="1011" w:customStyle="1">
    <w:name w:val="Bordered - Accent 6"/>
    <w:basedOn w:val="805"/>
    <w:uiPriority w:val="99"/>
    <w:qFormat/>
    <w:pPr>
      <w:spacing w:after="0" w:line="240" w:lineRule="auto"/>
    </w:pPr>
    <w:tblPr/>
  </w:style>
  <w:style w:type="paragraph" w:styleId="1012" w:customStyle="1">
    <w:name w:val="TOC Heading"/>
    <w:uiPriority w:val="39"/>
    <w:unhideWhenUsed/>
    <w:qFormat/>
    <w:pPr>
      <w:spacing w:before="0" w:beforeAutospacing="0" w:after="200" w:afterAutospacing="0" w:line="276" w:lineRule="auto"/>
    </w:pPr>
    <w:rPr>
      <w:rFonts w:hint="default" w:ascii="Arial" w:hAnsi="Arial" w:eastAsia="Arial" w:cs="Arial"/>
      <w:sz w:val="22"/>
      <w:szCs w:val="22"/>
    </w:rPr>
  </w:style>
  <w:style w:type="paragraph" w:styleId="1013">
    <w:name w:val="No Spacing"/>
    <w:basedOn w:val="768"/>
    <w:uiPriority w:val="1"/>
    <w:qFormat/>
    <w:pPr>
      <w:spacing w:after="0" w:line="240" w:lineRule="auto"/>
    </w:pPr>
  </w:style>
  <w:style w:type="paragraph" w:styleId="1014">
    <w:name w:val="List Paragraph"/>
    <w:basedOn w:val="768"/>
    <w:uiPriority w:val="34"/>
    <w:qFormat/>
    <w:pPr>
      <w:contextualSpacing/>
      <w:ind w:left="720"/>
    </w:pPr>
  </w:style>
  <w:style w:type="paragraph" w:styleId="1015" w:customStyle="1">
    <w:name w:val="Default"/>
    <w:uiPriority w:val="0"/>
    <w:qFormat/>
    <w:pPr>
      <w:ind w:firstLine="147"/>
      <w:jc w:val="both"/>
      <w:spacing w:line="360" w:lineRule="auto"/>
      <w:widowControl w:val="off"/>
    </w:pPr>
    <w:rPr>
      <w:rFonts w:hint="default" w:ascii="宋体" w:hAnsi="Arial" w:eastAsia="宋体" w:cs="宋体"/>
      <w:color w:val="000000"/>
      <w:sz w:val="24"/>
      <w:szCs w:val="24"/>
      <w:lang w:eastAsia="zh-CN"/>
    </w:rPr>
  </w:style>
  <w:style w:type="paragraph" w:styleId="1016" w:customStyle="1">
    <w:name w:val="标题 11"/>
    <w:basedOn w:val="859"/>
    <w:next w:val="859"/>
    <w:uiPriority w:val="0"/>
    <w:qFormat/>
    <w:pPr>
      <w:jc w:val="center"/>
      <w:keepLines/>
      <w:keepNext/>
      <w:spacing w:line="578" w:lineRule="auto"/>
      <w:outlineLvl w:val="0"/>
    </w:pPr>
    <w:rPr>
      <w:rFonts w:eastAsia="新宋体"/>
      <w:b/>
      <w:bCs/>
      <w:sz w:val="30"/>
      <w:szCs w:val="44"/>
      <w:lang w:eastAsia="en-US"/>
    </w:rPr>
  </w:style>
  <w:style w:type="paragraph" w:styleId="1017" w:customStyle="1">
    <w:name w:val="文本块1"/>
    <w:basedOn w:val="859"/>
    <w:next w:val="1018"/>
    <w:uiPriority w:val="0"/>
    <w:qFormat/>
    <w:pPr>
      <w:ind w:left="256" w:right="6" w:firstLine="624"/>
    </w:pPr>
    <w:rPr>
      <w:rFonts w:eastAsia="仿宋"/>
      <w:sz w:val="28"/>
      <w:szCs w:val="20"/>
    </w:rPr>
  </w:style>
  <w:style w:type="paragraph" w:styleId="1018" w:customStyle="1">
    <w:name w:val="标题 41"/>
    <w:basedOn w:val="865"/>
    <w:next w:val="860"/>
    <w:uiPriority w:val="9"/>
    <w:qFormat/>
    <w:pPr>
      <w:keepLines/>
      <w:keepNext/>
      <w:spacing w:before="320" w:after="200"/>
      <w:outlineLvl w:val="3"/>
    </w:pPr>
    <w:rPr>
      <w:rFonts w:ascii="Arial" w:hAnsi="Arial" w:eastAsia="Arial" w:cs="Arial"/>
      <w:b/>
      <w:bCs/>
      <w:sz w:val="26"/>
      <w:szCs w:val="26"/>
    </w:rPr>
  </w:style>
  <w:style w:type="paragraph" w:styleId="1019" w:customStyle="1">
    <w:name w:val="标题1"/>
    <w:basedOn w:val="865"/>
    <w:next w:val="768"/>
    <w:uiPriority w:val="0"/>
    <w:qFormat/>
    <w:pPr>
      <w:contextualSpacing/>
      <w:spacing w:before="300" w:after="200"/>
    </w:pPr>
    <w:rPr>
      <w:sz w:val="48"/>
      <w:szCs w:val="48"/>
    </w:rPr>
  </w:style>
  <w:style w:type="paragraph" w:styleId="1020" w:customStyle="1">
    <w:name w:val="目录 1111"/>
    <w:basedOn w:val="768"/>
    <w:next w:val="768"/>
    <w:uiPriority w:val="39"/>
    <w:unhideWhenUsed/>
    <w:qFormat/>
    <w:pPr>
      <w:spacing w:after="57"/>
    </w:pPr>
    <w:rPr>
      <w:rFonts w:ascii="Times New Roman" w:hAnsi="Times New Roman" w:eastAsia="宋体" w:cs="Times New Roman"/>
      <w:lang w:val="en-US" w:eastAsia="zh-CN" w:bidi="ar-SA"/>
    </w:rPr>
  </w:style>
  <w:style w:type="paragraph" w:styleId="1021" w:customStyle="1">
    <w:name w:val="正  文"/>
    <w:basedOn w:val="768"/>
    <w:uiPriority w:val="99"/>
    <w:qFormat/>
    <w:pPr>
      <w:spacing w:line="360" w:lineRule="auto"/>
    </w:pPr>
    <w:rPr>
      <w:sz w:val="21"/>
    </w:rPr>
  </w:style>
  <w:style w:type="paragraph" w:styleId="1022" w:customStyle="1">
    <w:name w:val="正文_3"/>
    <w:uiPriority w:val="0"/>
    <w:qFormat/>
    <w:pPr>
      <w:jc w:val="both"/>
      <w:widowControl w:val="off"/>
    </w:pPr>
    <w:rPr>
      <w:rFonts w:hint="default" w:ascii="Times New Roman" w:hAnsi="Times New Roman" w:eastAsia="宋体" w:cs="Times New Roman"/>
      <w:sz w:val="21"/>
      <w:lang w:eastAsia="zh-CN"/>
    </w:rPr>
  </w:style>
  <w:style w:type="paragraph" w:styleId="1023" w:customStyle="1">
    <w:name w:val="_HT_正文"/>
    <w:basedOn w:val="768"/>
    <w:uiPriority w:val="0"/>
    <w:qFormat/>
    <w:pPr>
      <w:ind w:firstLine="200"/>
      <w:spacing w:line="360" w:lineRule="auto"/>
    </w:pPr>
    <w:rPr>
      <w:sz w:val="24"/>
    </w:rPr>
  </w:style>
  <w:style w:type="paragraph" w:styleId="1024" w:customStyle="1">
    <w:name w:val="无间隔1"/>
    <w:basedOn w:val="768"/>
    <w:uiPriority w:val="1"/>
    <w:qFormat/>
    <w:pPr>
      <w:spacing w:line="400" w:lineRule="exact"/>
    </w:pPr>
    <w:rPr>
      <w:sz w:val="24"/>
    </w:rPr>
  </w:style>
  <w:style w:type="paragraph" w:styleId="1025" w:customStyle="1">
    <w:name w:val="脚注文本12"/>
    <w:basedOn w:val="768"/>
    <w:next w:val="1026"/>
    <w:uiPriority w:val="99"/>
    <w:unhideWhenUsed/>
    <w:qFormat/>
    <w:pPr>
      <w:spacing w:after="40" w:line="240" w:lineRule="auto"/>
    </w:pPr>
    <w:rPr>
      <w:sz w:val="18"/>
    </w:rPr>
  </w:style>
  <w:style w:type="paragraph" w:styleId="1026" w:customStyle="1">
    <w:name w:val="索引 512"/>
    <w:basedOn w:val="768"/>
    <w:next w:val="768"/>
    <w:uiPriority w:val="0"/>
    <w:qFormat/>
    <w:pPr>
      <w:ind w:left="798"/>
    </w:pPr>
    <w:rPr>
      <w:rFonts w:ascii="Calibri" w:hAnsi="Calibri" w:eastAsia="Times New Roman"/>
      <w:szCs w:val="24"/>
    </w:rPr>
  </w:style>
  <w:style w:type="paragraph" w:styleId="1027" w:customStyle="1">
    <w:name w:val="正文首行缩进11"/>
    <w:basedOn w:val="875"/>
    <w:next w:val="1028"/>
    <w:uiPriority w:val="0"/>
    <w:qFormat/>
    <w:pPr>
      <w:ind w:firstLine="420"/>
    </w:pPr>
    <w:rPr>
      <w:rFonts w:ascii="仿宋_GB2312" w:eastAsia="仿宋_GB2312"/>
      <w:sz w:val="30"/>
      <w:szCs w:val="30"/>
    </w:rPr>
  </w:style>
  <w:style w:type="paragraph" w:styleId="1028" w:customStyle="1">
    <w:name w:val="正文首行缩进 211"/>
    <w:basedOn w:val="881"/>
    <w:uiPriority w:val="99"/>
    <w:qFormat/>
    <w:pPr>
      <w:ind w:left="0" w:firstLine="420"/>
      <w:spacing w:after="0" w:line="360" w:lineRule="auto"/>
    </w:pPr>
    <w:rPr>
      <w:rFonts w:ascii="宋体" w:hAnsi="宋体"/>
    </w:rPr>
  </w:style>
  <w:style w:type="paragraph" w:styleId="1029" w:customStyle="1">
    <w:name w:val="寄信人地址11"/>
    <w:basedOn w:val="768"/>
    <w:uiPriority w:val="0"/>
    <w:qFormat/>
    <w:rPr>
      <w:rFonts w:ascii="Arial" w:hAnsi="Arial"/>
    </w:rPr>
  </w:style>
  <w:style w:type="paragraph" w:styleId="1030" w:customStyle="1">
    <w:name w:val="信息标题1"/>
    <w:basedOn w:val="768"/>
    <w:next w:val="1031"/>
    <w:uiPriority w:val="99"/>
    <w:qFormat/>
    <w:pPr>
      <w:shd w:val="pct20" w:color="auto" w:fill="auto"/>
      <w:pBdr>
        <w:top w:val="none" w:color="000000" w:sz="0" w:space="0"/>
        <w:left w:val="none" w:color="000000" w:sz="0" w:space="0"/>
        <w:bottom w:val="none" w:color="000000" w:sz="0" w:space="0"/>
        <w:right w:val="none" w:color="000000" w:sz="0" w:space="0"/>
      </w:pBdr>
    </w:pPr>
    <w:rPr>
      <w:rFonts w:ascii="Arial" w:hAnsi="Arial"/>
      <w:color w:val="000000"/>
      <w:szCs w:val="22"/>
    </w:rPr>
  </w:style>
  <w:style w:type="paragraph" w:styleId="1031" w:customStyle="1">
    <w:name w:val="正文文本12"/>
    <w:basedOn w:val="768"/>
    <w:next w:val="768"/>
    <w:uiPriority w:val="99"/>
    <w:qFormat/>
    <w:pPr>
      <w:spacing w:after="120"/>
    </w:pPr>
  </w:style>
  <w:style w:type="paragraph" w:styleId="1032" w:customStyle="1">
    <w:name w:val="正文缩进1"/>
    <w:basedOn w:val="768"/>
    <w:uiPriority w:val="0"/>
    <w:qFormat/>
    <w:pPr>
      <w:ind w:firstLine="420"/>
    </w:pPr>
  </w:style>
  <w:style w:type="character" w:styleId="1033" w:customStyle="1">
    <w:name w:val="NormalCharacter1"/>
    <w:link w:val="768"/>
    <w:uiPriority w:val="0"/>
    <w:semiHidden/>
    <w:qFormat/>
    <w:rPr>
      <w:sz w:val="28"/>
      <w:lang w:val="en-US" w:eastAsia="zh-CN" w:bidi="ar-SA"/>
    </w:rPr>
  </w:style>
  <w:style w:type="character" w:styleId="1034" w:customStyle="1">
    <w:name w:val="font31"/>
    <w:basedOn w:val="804"/>
    <w:link w:val="768"/>
    <w:uiPriority w:val="0"/>
    <w:qFormat/>
    <w:rPr>
      <w:rFonts w:hint="eastAsia" w:ascii="宋体" w:hAnsi="宋体" w:eastAsia="宋体" w:cs="宋体"/>
      <w:color w:val="000000"/>
      <w:sz w:val="18"/>
      <w:szCs w:val="18"/>
      <w:u w:val="none"/>
    </w:rPr>
  </w:style>
  <w:style w:type="character" w:styleId="1035" w:customStyle="1">
    <w:name w:val="font21"/>
    <w:basedOn w:val="804"/>
    <w:link w:val="768"/>
    <w:uiPriority w:val="0"/>
    <w:qFormat/>
    <w:rPr>
      <w:rFonts w:hint="eastAsia" w:ascii="仿宋" w:hAnsi="仿宋" w:eastAsia="仿宋" w:cs="仿宋"/>
      <w:color w:val="000000"/>
      <w:sz w:val="18"/>
      <w:szCs w:val="18"/>
      <w:u w:val="none"/>
    </w:rPr>
  </w:style>
  <w:style w:type="character" w:styleId="1036" w:customStyle="1">
    <w:name w:val="font41"/>
    <w:basedOn w:val="804"/>
    <w:link w:val="768"/>
    <w:uiPriority w:val="0"/>
    <w:qFormat/>
    <w:rPr>
      <w:rFonts w:hint="eastAsia" w:ascii="宋体" w:hAnsi="宋体" w:eastAsia="宋体" w:cs="宋体"/>
      <w:color w:val="000000"/>
      <w:sz w:val="18"/>
      <w:szCs w:val="18"/>
      <w:u w:val="none"/>
    </w:rPr>
  </w:style>
  <w:style w:type="character" w:styleId="1037" w:customStyle="1">
    <w:name w:val="font51"/>
    <w:basedOn w:val="804"/>
    <w:link w:val="768"/>
    <w:uiPriority w:val="0"/>
    <w:qFormat/>
    <w:rPr>
      <w:rFonts w:hint="eastAsia" w:ascii="宋体" w:hAnsi="宋体" w:eastAsia="宋体" w:cs="宋体"/>
      <w:color w:val="000000"/>
      <w:sz w:val="18"/>
      <w:szCs w:val="18"/>
      <w:u w:val="none"/>
    </w:rPr>
  </w:style>
  <w:style w:type="character" w:styleId="1038" w:customStyle="1">
    <w:name w:val="font61"/>
    <w:basedOn w:val="804"/>
    <w:link w:val="768"/>
    <w:uiPriority w:val="0"/>
    <w:qFormat/>
    <w:rPr>
      <w:rFonts w:hint="eastAsia" w:ascii="宋体" w:hAnsi="宋体" w:eastAsia="宋体" w:cs="宋体"/>
      <w:color w:val="000000"/>
      <w:sz w:val="18"/>
      <w:szCs w:val="18"/>
      <w:u w:val="none"/>
    </w:rPr>
  </w:style>
  <w:style w:type="paragraph" w:styleId="1039" w:customStyle="1">
    <w:name w:val="BodyTextIndent1"/>
    <w:basedOn w:val="768"/>
    <w:next w:val="1040"/>
    <w:uiPriority w:val="0"/>
    <w:qFormat/>
    <w:pPr>
      <w:ind w:left="420"/>
      <w:spacing w:after="120"/>
    </w:pPr>
  </w:style>
  <w:style w:type="paragraph" w:styleId="1040" w:customStyle="1">
    <w:name w:val="EnvelopeReturn1"/>
    <w:basedOn w:val="768"/>
    <w:uiPriority w:val="0"/>
    <w:qFormat/>
    <w:rPr>
      <w:rFonts w:ascii="Arial" w:hAnsi="Arial"/>
    </w:rPr>
  </w:style>
  <w:style w:type="character" w:styleId="1041" w:customStyle="1">
    <w:name w:val="font81"/>
    <w:basedOn w:val="804"/>
    <w:link w:val="768"/>
    <w:uiPriority w:val="0"/>
    <w:qFormat/>
    <w:rPr>
      <w:rFonts w:hint="eastAsia" w:ascii="黑体" w:hAnsi="宋体" w:eastAsia="黑体" w:cs="黑体"/>
      <w:color w:val="000000"/>
      <w:sz w:val="22"/>
      <w:szCs w:val="22"/>
      <w:u w:val="none"/>
    </w:rPr>
  </w:style>
  <w:style w:type="character" w:styleId="1042" w:customStyle="1">
    <w:name w:val="font91"/>
    <w:basedOn w:val="804"/>
    <w:link w:val="768"/>
    <w:uiPriority w:val="0"/>
    <w:qFormat/>
    <w:rPr>
      <w:rFonts w:hint="eastAsia" w:ascii="黑体" w:hAnsi="宋体" w:eastAsia="黑体" w:cs="黑体"/>
      <w:color w:val="000000"/>
      <w:sz w:val="22"/>
      <w:szCs w:val="22"/>
      <w:u w:val="none"/>
    </w:rPr>
  </w:style>
  <w:style w:type="character" w:styleId="1043" w:customStyle="1">
    <w:name w:val="font71"/>
    <w:basedOn w:val="804"/>
    <w:link w:val="768"/>
    <w:uiPriority w:val="0"/>
    <w:qFormat/>
    <w:rPr>
      <w:rFonts w:hint="eastAsia" w:ascii="黑体" w:hAnsi="宋体" w:eastAsia="黑体" w:cs="黑体"/>
      <w:color w:val="000000"/>
      <w:sz w:val="22"/>
      <w:szCs w:val="22"/>
      <w:u w:val="none"/>
    </w:rPr>
  </w:style>
  <w:style w:type="character" w:styleId="1044" w:customStyle="1">
    <w:name w:val="font11"/>
    <w:basedOn w:val="778"/>
    <w:uiPriority w:val="0"/>
    <w:qFormat/>
    <w:rPr>
      <w:rFonts w:hint="eastAsia" w:ascii="仿宋" w:hAnsi="仿宋" w:eastAsia="仿宋" w:cs="仿宋"/>
      <w:color w:val="000000"/>
      <w:sz w:val="22"/>
      <w:szCs w:val="22"/>
      <w:u w:val="none"/>
    </w:rPr>
  </w:style>
  <w:style w:type="numbering" w:styleId="116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永明</cp:lastModifiedBy>
  <cp:revision>5</cp:revision>
  <dcterms:created xsi:type="dcterms:W3CDTF">2022-02-28T02:52:00Z</dcterms:created>
  <dcterms:modified xsi:type="dcterms:W3CDTF">2026-01-22T08:52:15Z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eyJoZGlkIjoiZTY1MTRhMjgzNDQxZTFkMDJkMzFkNzdhNDlmNjk3MWUiLCJ1c2VySWQiOiI0MDE1MTk3NzEifQ==</vt:lpwstr>
  </property>
  <property fmtid="{D5CDD505-2E9C-101B-9397-08002B2CF9AE}" pid="3" name="KSOProductBuildVer">
    <vt:lpwstr>2052-12.1.0.24034</vt:lpwstr>
  </property>
  <property fmtid="{D5CDD505-2E9C-101B-9397-08002B2CF9AE}" pid="4" name="ICV">
    <vt:lpwstr>85CF3FCEDE584F4CA43CE1102DCEE51F_13</vt:lpwstr>
  </property>
</Properties>
</file>